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90709406"/>
        <w:docPartObj>
          <w:docPartGallery w:val="Cover Pages"/>
          <w:docPartUnique/>
        </w:docPartObj>
      </w:sdtPr>
      <w:sdtEndPr/>
      <w:sdtContent>
        <w:p w14:paraId="1FEA5FC3" w14:textId="3736FCF5" w:rsidR="007C5BF4" w:rsidRPr="00F93614" w:rsidRDefault="007C5BF4">
          <w:r w:rsidRPr="00F93614">
            <w:rPr>
              <w:noProof/>
            </w:rPr>
            <mc:AlternateContent>
              <mc:Choice Requires="wps">
                <w:drawing>
                  <wp:anchor distT="0" distB="0" distL="114300" distR="114300" simplePos="0" relativeHeight="251658240" behindDoc="1" locked="0" layoutInCell="1" allowOverlap="0" wp14:anchorId="7D687E5F" wp14:editId="0B88DBD2">
                    <wp:simplePos x="0" y="0"/>
                    <wp:positionH relativeFrom="page">
                      <wp:align>center</wp:align>
                    </wp:positionH>
                    <wp:positionV relativeFrom="page">
                      <wp:align>center</wp:align>
                    </wp:positionV>
                    <wp:extent cx="6858000" cy="9144000"/>
                    <wp:effectExtent l="0" t="0" r="0" b="0"/>
                    <wp:wrapNone/>
                    <wp:docPr id="8" name="Text Box 4"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7C5BF4" w14:paraId="52420717" w14:textId="77777777">
                                  <w:trPr>
                                    <w:trHeight w:hRule="exact" w:val="9360"/>
                                  </w:trPr>
                                  <w:tc>
                                    <w:tcPr>
                                      <w:tcW w:w="5000" w:type="pct"/>
                                    </w:tcPr>
                                    <w:p w14:paraId="15EA22B4" w14:textId="7BC42650" w:rsidR="007C5BF4" w:rsidRDefault="007C5BF4">
                                      <w:r w:rsidRPr="007C5BF4">
                                        <w:rPr>
                                          <w:noProof/>
                                        </w:rPr>
                                        <w:drawing>
                                          <wp:inline distT="0" distB="0" distL="0" distR="0" wp14:anchorId="1DC97BE9" wp14:editId="058E152C">
                                            <wp:extent cx="6840855" cy="5396089"/>
                                            <wp:effectExtent l="0" t="0" r="0" b="0"/>
                                            <wp:docPr id="1633572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3149" cy="5397898"/>
                                                    </a:xfrm>
                                                    <a:prstGeom prst="rect">
                                                      <a:avLst/>
                                                    </a:prstGeom>
                                                    <a:noFill/>
                                                    <a:ln>
                                                      <a:noFill/>
                                                    </a:ln>
                                                  </pic:spPr>
                                                </pic:pic>
                                              </a:graphicData>
                                            </a:graphic>
                                          </wp:inline>
                                        </w:drawing>
                                      </w:r>
                                    </w:p>
                                  </w:tc>
                                </w:tr>
                                <w:tr w:rsidR="007C5BF4" w14:paraId="21B3BE8C" w14:textId="77777777">
                                  <w:trPr>
                                    <w:trHeight w:hRule="exact" w:val="4320"/>
                                  </w:trPr>
                                  <w:tc>
                                    <w:tcPr>
                                      <w:tcW w:w="5000" w:type="pct"/>
                                      <w:shd w:val="clear" w:color="auto" w:fill="156082" w:themeFill="accent1"/>
                                      <w:vAlign w:val="center"/>
                                    </w:tcPr>
                                    <w:p w14:paraId="4A16E3EF" w14:textId="44043547" w:rsidR="007C5BF4" w:rsidRPr="007C5BF4" w:rsidRDefault="005A4B0E" w:rsidP="007C5BF4">
                                      <w:pPr>
                                        <w:pStyle w:val="NoSpacing"/>
                                        <w:spacing w:before="200" w:line="216" w:lineRule="auto"/>
                                        <w:ind w:left="720" w:right="720"/>
                                        <w:rPr>
                                          <w:rFonts w:asciiTheme="majorHAnsi" w:hAnsiTheme="majorHAnsi"/>
                                          <w:color w:val="FFFFFF" w:themeColor="background1"/>
                                          <w:sz w:val="144"/>
                                          <w:szCs w:val="144"/>
                                        </w:rPr>
                                      </w:pPr>
                                      <w:sdt>
                                        <w:sdtPr>
                                          <w:rPr>
                                            <w:rFonts w:asciiTheme="majorHAnsi" w:hAnsiTheme="majorHAnsi"/>
                                            <w:b/>
                                            <w:bCs/>
                                            <w:color w:val="FFFFFF" w:themeColor="background1"/>
                                            <w:sz w:val="56"/>
                                            <w:szCs w:val="56"/>
                                            <w:lang w:val="en-GB"/>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7C5BF4" w:rsidRPr="007C5BF4">
                                            <w:rPr>
                                              <w:rFonts w:asciiTheme="majorHAnsi" w:hAnsiTheme="majorHAnsi"/>
                                              <w:b/>
                                              <w:bCs/>
                                              <w:color w:val="FFFFFF" w:themeColor="background1"/>
                                              <w:sz w:val="56"/>
                                              <w:szCs w:val="56"/>
                                              <w:lang w:val="en-GB"/>
                                            </w:rPr>
                                            <w:t xml:space="preserve">Domestic Homicide Review – Laura                                            SSCP </w:t>
                                          </w:r>
                                          <w:r w:rsidR="00B8563B">
                                            <w:rPr>
                                              <w:rFonts w:asciiTheme="majorHAnsi" w:hAnsiTheme="majorHAnsi"/>
                                              <w:b/>
                                              <w:bCs/>
                                              <w:color w:val="FFFFFF" w:themeColor="background1"/>
                                              <w:sz w:val="56"/>
                                              <w:szCs w:val="56"/>
                                              <w:lang w:val="en-GB"/>
                                            </w:rPr>
                                            <w:t xml:space="preserve">Extended </w:t>
                                          </w:r>
                                          <w:r w:rsidR="007C5BF4" w:rsidRPr="007C5BF4">
                                            <w:rPr>
                                              <w:rFonts w:asciiTheme="majorHAnsi" w:hAnsiTheme="majorHAnsi"/>
                                              <w:b/>
                                              <w:bCs/>
                                              <w:color w:val="FFFFFF" w:themeColor="background1"/>
                                              <w:sz w:val="56"/>
                                              <w:szCs w:val="56"/>
                                              <w:lang w:val="en-GB"/>
                                            </w:rPr>
                                            <w:t>Learning Briefing</w:t>
                                          </w:r>
                                        </w:sdtContent>
                                      </w:sdt>
                                    </w:p>
                                    <w:p w14:paraId="6B3314D9" w14:textId="552C5655" w:rsidR="007C5BF4" w:rsidRDefault="005A4B0E">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B8563B">
                                            <w:rPr>
                                              <w:color w:val="FFFFFF" w:themeColor="background1"/>
                                              <w:sz w:val="32"/>
                                              <w:szCs w:val="32"/>
                                            </w:rPr>
                                            <w:t xml:space="preserve">August </w:t>
                                          </w:r>
                                          <w:r w:rsidR="007C5BF4">
                                            <w:rPr>
                                              <w:color w:val="FFFFFF" w:themeColor="background1"/>
                                              <w:sz w:val="32"/>
                                              <w:szCs w:val="32"/>
                                            </w:rPr>
                                            <w:t>2026</w:t>
                                          </w:r>
                                        </w:sdtContent>
                                      </w:sdt>
                                      <w:r w:rsidR="007C5BF4">
                                        <w:rPr>
                                          <w:color w:val="FFFFFF" w:themeColor="background1"/>
                                          <w:sz w:val="32"/>
                                          <w:szCs w:val="32"/>
                                        </w:rPr>
                                        <w:t xml:space="preserve"> </w:t>
                                      </w:r>
                                    </w:p>
                                  </w:tc>
                                </w:tr>
                                <w:tr w:rsidR="007C5BF4" w14:paraId="20732769" w14:textId="77777777">
                                  <w:trPr>
                                    <w:trHeight w:hRule="exact" w:val="720"/>
                                  </w:trPr>
                                  <w:tc>
                                    <w:tcPr>
                                      <w:tcW w:w="5000" w:type="pct"/>
                                      <w:shd w:val="clear" w:color="auto" w:fill="4EA72E" w:themeFill="accent6"/>
                                    </w:tcPr>
                                    <w:p w14:paraId="7441EECD" w14:textId="77777777" w:rsidR="007C5BF4" w:rsidRDefault="007C5BF4"/>
                                  </w:tc>
                                </w:tr>
                              </w:tbl>
                              <w:p w14:paraId="7CBBA136" w14:textId="77777777" w:rsidR="007C5BF4" w:rsidRDefault="007C5BF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687E5F" id="_x0000_t202" coordsize="21600,21600" o:spt="202" path="m,l,21600r21600,l21600,xe">
                    <v:stroke joinstyle="miter"/>
                    <v:path gradientshapeok="t" o:connecttype="rect"/>
                  </v:shapetype>
                  <v:shape id="Text Box 4" o:spid="_x0000_s1026" type="#_x0000_t202" alt="Cover page layout" style="position:absolute;margin-left:0;margin-top:0;width:540pt;height:10in;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7C5BF4" w14:paraId="52420717" w14:textId="77777777">
                            <w:trPr>
                              <w:trHeight w:hRule="exact" w:val="9360"/>
                            </w:trPr>
                            <w:tc>
                              <w:tcPr>
                                <w:tcW w:w="5000" w:type="pct"/>
                              </w:tcPr>
                              <w:p w14:paraId="15EA22B4" w14:textId="7BC42650" w:rsidR="007C5BF4" w:rsidRDefault="007C5BF4">
                                <w:r w:rsidRPr="007C5BF4">
                                  <w:rPr>
                                    <w:noProof/>
                                  </w:rPr>
                                  <w:drawing>
                                    <wp:inline distT="0" distB="0" distL="0" distR="0" wp14:anchorId="1DC97BE9" wp14:editId="058E152C">
                                      <wp:extent cx="6840855" cy="5396089"/>
                                      <wp:effectExtent l="0" t="0" r="0" b="0"/>
                                      <wp:docPr id="1633572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43149" cy="5397898"/>
                                              </a:xfrm>
                                              <a:prstGeom prst="rect">
                                                <a:avLst/>
                                              </a:prstGeom>
                                              <a:noFill/>
                                              <a:ln>
                                                <a:noFill/>
                                              </a:ln>
                                            </pic:spPr>
                                          </pic:pic>
                                        </a:graphicData>
                                      </a:graphic>
                                    </wp:inline>
                                  </w:drawing>
                                </w:r>
                              </w:p>
                            </w:tc>
                          </w:tr>
                          <w:tr w:rsidR="007C5BF4" w14:paraId="21B3BE8C" w14:textId="77777777">
                            <w:trPr>
                              <w:trHeight w:hRule="exact" w:val="4320"/>
                            </w:trPr>
                            <w:tc>
                              <w:tcPr>
                                <w:tcW w:w="5000" w:type="pct"/>
                                <w:shd w:val="clear" w:color="auto" w:fill="156082" w:themeFill="accent1"/>
                                <w:vAlign w:val="center"/>
                              </w:tcPr>
                              <w:p w14:paraId="4A16E3EF" w14:textId="44043547" w:rsidR="007C5BF4" w:rsidRPr="007C5BF4" w:rsidRDefault="005A4B0E" w:rsidP="007C5BF4">
                                <w:pPr>
                                  <w:pStyle w:val="NoSpacing"/>
                                  <w:spacing w:before="200" w:line="216" w:lineRule="auto"/>
                                  <w:ind w:left="720" w:right="720"/>
                                  <w:rPr>
                                    <w:rFonts w:asciiTheme="majorHAnsi" w:hAnsiTheme="majorHAnsi"/>
                                    <w:color w:val="FFFFFF" w:themeColor="background1"/>
                                    <w:sz w:val="144"/>
                                    <w:szCs w:val="144"/>
                                  </w:rPr>
                                </w:pPr>
                                <w:sdt>
                                  <w:sdtPr>
                                    <w:rPr>
                                      <w:rFonts w:asciiTheme="majorHAnsi" w:hAnsiTheme="majorHAnsi"/>
                                      <w:b/>
                                      <w:bCs/>
                                      <w:color w:val="FFFFFF" w:themeColor="background1"/>
                                      <w:sz w:val="56"/>
                                      <w:szCs w:val="56"/>
                                      <w:lang w:val="en-GB"/>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7C5BF4" w:rsidRPr="007C5BF4">
                                      <w:rPr>
                                        <w:rFonts w:asciiTheme="majorHAnsi" w:hAnsiTheme="majorHAnsi"/>
                                        <w:b/>
                                        <w:bCs/>
                                        <w:color w:val="FFFFFF" w:themeColor="background1"/>
                                        <w:sz w:val="56"/>
                                        <w:szCs w:val="56"/>
                                        <w:lang w:val="en-GB"/>
                                      </w:rPr>
                                      <w:t xml:space="preserve">Domestic Homicide Review – Laura                                            SSCP </w:t>
                                    </w:r>
                                    <w:r w:rsidR="00B8563B">
                                      <w:rPr>
                                        <w:rFonts w:asciiTheme="majorHAnsi" w:hAnsiTheme="majorHAnsi"/>
                                        <w:b/>
                                        <w:bCs/>
                                        <w:color w:val="FFFFFF" w:themeColor="background1"/>
                                        <w:sz w:val="56"/>
                                        <w:szCs w:val="56"/>
                                        <w:lang w:val="en-GB"/>
                                      </w:rPr>
                                      <w:t xml:space="preserve">Extended </w:t>
                                    </w:r>
                                    <w:r w:rsidR="007C5BF4" w:rsidRPr="007C5BF4">
                                      <w:rPr>
                                        <w:rFonts w:asciiTheme="majorHAnsi" w:hAnsiTheme="majorHAnsi"/>
                                        <w:b/>
                                        <w:bCs/>
                                        <w:color w:val="FFFFFF" w:themeColor="background1"/>
                                        <w:sz w:val="56"/>
                                        <w:szCs w:val="56"/>
                                        <w:lang w:val="en-GB"/>
                                      </w:rPr>
                                      <w:t>Learning Briefing</w:t>
                                    </w:r>
                                  </w:sdtContent>
                                </w:sdt>
                              </w:p>
                              <w:p w14:paraId="6B3314D9" w14:textId="552C5655" w:rsidR="007C5BF4" w:rsidRDefault="005A4B0E">
                                <w:pPr>
                                  <w:pStyle w:val="NoSpacing"/>
                                  <w:spacing w:before="240"/>
                                  <w:ind w:left="720" w:right="720"/>
                                  <w:rPr>
                                    <w:color w:val="FFFFFF" w:themeColor="background1"/>
                                    <w:sz w:val="32"/>
                                    <w:szCs w:val="32"/>
                                  </w:rPr>
                                </w:pPr>
                                <w:sdt>
                                  <w:sdtPr>
                                    <w:rPr>
                                      <w:color w:val="FFFFFF" w:themeColor="background1"/>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B8563B">
                                      <w:rPr>
                                        <w:color w:val="FFFFFF" w:themeColor="background1"/>
                                        <w:sz w:val="32"/>
                                        <w:szCs w:val="32"/>
                                      </w:rPr>
                                      <w:t xml:space="preserve">August </w:t>
                                    </w:r>
                                    <w:r w:rsidR="007C5BF4">
                                      <w:rPr>
                                        <w:color w:val="FFFFFF" w:themeColor="background1"/>
                                        <w:sz w:val="32"/>
                                        <w:szCs w:val="32"/>
                                      </w:rPr>
                                      <w:t>2026</w:t>
                                    </w:r>
                                  </w:sdtContent>
                                </w:sdt>
                                <w:r w:rsidR="007C5BF4">
                                  <w:rPr>
                                    <w:color w:val="FFFFFF" w:themeColor="background1"/>
                                    <w:sz w:val="32"/>
                                    <w:szCs w:val="32"/>
                                  </w:rPr>
                                  <w:t xml:space="preserve"> </w:t>
                                </w:r>
                              </w:p>
                            </w:tc>
                          </w:tr>
                          <w:tr w:rsidR="007C5BF4" w14:paraId="20732769" w14:textId="77777777">
                            <w:trPr>
                              <w:trHeight w:hRule="exact" w:val="720"/>
                            </w:trPr>
                            <w:tc>
                              <w:tcPr>
                                <w:tcW w:w="5000" w:type="pct"/>
                                <w:shd w:val="clear" w:color="auto" w:fill="4EA72E" w:themeFill="accent6"/>
                              </w:tcPr>
                              <w:p w14:paraId="7441EECD" w14:textId="77777777" w:rsidR="007C5BF4" w:rsidRDefault="007C5BF4"/>
                            </w:tc>
                          </w:tr>
                        </w:tbl>
                        <w:p w14:paraId="7CBBA136" w14:textId="77777777" w:rsidR="007C5BF4" w:rsidRDefault="007C5BF4"/>
                      </w:txbxContent>
                    </v:textbox>
                    <w10:wrap anchorx="page" anchory="page"/>
                  </v:shape>
                </w:pict>
              </mc:Fallback>
            </mc:AlternateContent>
          </w:r>
        </w:p>
        <w:p w14:paraId="7DAE6101" w14:textId="12304E6D" w:rsidR="007C5BF4" w:rsidRPr="00F93614" w:rsidRDefault="007C5BF4">
          <w:r w:rsidRPr="00F93614">
            <w:rPr>
              <w:noProof/>
            </w:rPr>
            <w:drawing>
              <wp:anchor distT="0" distB="0" distL="114300" distR="114300" simplePos="0" relativeHeight="251658241" behindDoc="0" locked="0" layoutInCell="1" allowOverlap="1" wp14:anchorId="7464BCB3" wp14:editId="7BD1C801">
                <wp:simplePos x="0" y="0"/>
                <wp:positionH relativeFrom="column">
                  <wp:posOffset>1670756</wp:posOffset>
                </wp:positionH>
                <wp:positionV relativeFrom="paragraph">
                  <wp:posOffset>665268</wp:posOffset>
                </wp:positionV>
                <wp:extent cx="2777067" cy="2494351"/>
                <wp:effectExtent l="0" t="0" r="4445" b="1270"/>
                <wp:wrapTopAndBottom/>
                <wp:docPr id="55226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60053" name=""/>
                        <pic:cNvPicPr/>
                      </pic:nvPicPr>
                      <pic:blipFill rotWithShape="1">
                        <a:blip r:embed="rId9" cstate="print">
                          <a:extLst>
                            <a:ext uri="{28A0092B-C50C-407E-A947-70E740481C1C}">
                              <a14:useLocalDpi xmlns:a14="http://schemas.microsoft.com/office/drawing/2010/main" val="0"/>
                            </a:ext>
                          </a:extLst>
                        </a:blip>
                        <a:srcRect l="30529" t="21104" r="21011" b="10320"/>
                        <a:stretch>
                          <a:fillRect/>
                        </a:stretch>
                      </pic:blipFill>
                      <pic:spPr bwMode="auto">
                        <a:xfrm>
                          <a:off x="0" y="0"/>
                          <a:ext cx="2777067" cy="2494351"/>
                        </a:xfrm>
                        <a:prstGeom prst="rect">
                          <a:avLst/>
                        </a:prstGeom>
                        <a:ln>
                          <a:noFill/>
                        </a:ln>
                        <a:extLst>
                          <a:ext uri="{53640926-AAD7-44D8-BBD7-CCE9431645EC}">
                            <a14:shadowObscured xmlns:a14="http://schemas.microsoft.com/office/drawing/2010/main"/>
                          </a:ext>
                        </a:extLst>
                      </pic:spPr>
                    </pic:pic>
                  </a:graphicData>
                </a:graphic>
              </wp:anchor>
            </w:drawing>
          </w:r>
          <w:r w:rsidRPr="00F93614">
            <w:br w:type="page"/>
          </w:r>
        </w:p>
      </w:sdtContent>
    </w:sdt>
    <w:p w14:paraId="68877C7C" w14:textId="77777777" w:rsidR="007A09C9" w:rsidRPr="00F93614" w:rsidRDefault="007A09C9" w:rsidP="007C54DE">
      <w:pPr>
        <w:pStyle w:val="Subtitle"/>
        <w:sectPr w:rsidR="007A09C9" w:rsidRPr="00F93614" w:rsidSect="007C5BF4">
          <w:pgSz w:w="11906" w:h="16838"/>
          <w:pgMar w:top="1440" w:right="1440" w:bottom="1440" w:left="1440" w:header="708" w:footer="708" w:gutter="0"/>
          <w:pgNumType w:start="0"/>
          <w:cols w:space="708"/>
          <w:titlePg/>
          <w:docGrid w:linePitch="360"/>
        </w:sectPr>
      </w:pPr>
    </w:p>
    <w:p w14:paraId="5730B12F" w14:textId="0674E986" w:rsidR="007C5BF4" w:rsidRPr="00F93614" w:rsidRDefault="007C5BF4" w:rsidP="002F49F8">
      <w:pPr>
        <w:pStyle w:val="Subtitle"/>
        <w:spacing w:after="0" w:line="240" w:lineRule="auto"/>
      </w:pPr>
      <w:r w:rsidRPr="00F93614">
        <w:lastRenderedPageBreak/>
        <w:t>BACKGROUND</w:t>
      </w:r>
    </w:p>
    <w:p w14:paraId="5C4580DE" w14:textId="77777777" w:rsidR="00633B29" w:rsidRDefault="00633B29">
      <w:pPr>
        <w:rPr>
          <w:lang w:eastAsia="en-GB"/>
        </w:rPr>
      </w:pPr>
      <w:r>
        <w:t>The Shropshire Safeguarding Community Partnership commissioned a Domestic Homicide Review following the death of an adult by suicide, where domestic abuse was a relevant factor. The pseudonym ‘Laura’ is used throughout to protect anonymity. Laura was a middle-aged mother who had experienced domestic abuse over a number of years. The review considered relevant agency contact with Laura before her death to identify learning and strengthen future safeguarding practice.</w:t>
      </w:r>
    </w:p>
    <w:p w14:paraId="2CD48AB9" w14:textId="77777777" w:rsidR="008C44F1" w:rsidRDefault="008C44F1" w:rsidP="002F49F8">
      <w:pPr>
        <w:spacing w:line="240" w:lineRule="auto"/>
        <w:rPr>
          <w:lang w:eastAsia="en-GB"/>
        </w:rPr>
      </w:pPr>
      <w:r>
        <w:t xml:space="preserve">The Domestic Homicide Review was conducted in accordance with the </w:t>
      </w:r>
      <w:hyperlink r:id="rId10" w:history="1">
        <w:r>
          <w:rPr>
            <w:rStyle w:val="Hyperlink"/>
          </w:rPr>
          <w:t>Multi-Agency Statutory Guidance for the Conduct of Domestic Homicide Reviews (2016)</w:t>
        </w:r>
      </w:hyperlink>
      <w:r>
        <w:t>. Agencies involved with Laura shared their information and worked together to identify learning and recommendations.</w:t>
      </w:r>
    </w:p>
    <w:p w14:paraId="1D2D57A3" w14:textId="52C8445F" w:rsidR="00B15F3B" w:rsidRPr="00F93614" w:rsidRDefault="00D54EBE" w:rsidP="002F49F8">
      <w:pPr>
        <w:spacing w:line="240" w:lineRule="auto"/>
      </w:pPr>
      <w:r w:rsidRPr="00F93614">
        <w:t>This Domestic Homicide Review was not published to protect the identity and privacy of those involved and to avoid causing further distress to family members and others affected. However, this learning briefing has been shared to ensure that key learning is understood and used to strengthen safeguarding practice, improve multi-</w:t>
      </w:r>
      <w:r w:rsidR="0069686F" w:rsidRPr="00F93614">
        <w:t>agency responses</w:t>
      </w:r>
      <w:r w:rsidRPr="00F93614">
        <w:t xml:space="preserve"> and reduce the risk of similar harm in the future.</w:t>
      </w:r>
    </w:p>
    <w:p w14:paraId="7D6F5F04" w14:textId="77777777" w:rsidR="002F49F8" w:rsidRDefault="002F49F8" w:rsidP="002F49F8">
      <w:pPr>
        <w:pStyle w:val="Subtitle"/>
        <w:spacing w:after="0" w:line="240" w:lineRule="auto"/>
      </w:pPr>
    </w:p>
    <w:p w14:paraId="08DA3C5F" w14:textId="77777777" w:rsidR="002F49F8" w:rsidRDefault="002F49F8" w:rsidP="002F49F8">
      <w:pPr>
        <w:pStyle w:val="Subtitle"/>
        <w:spacing w:after="0" w:line="240" w:lineRule="auto"/>
      </w:pPr>
    </w:p>
    <w:p w14:paraId="47D5D932" w14:textId="77777777" w:rsidR="002F49F8" w:rsidRDefault="002F49F8" w:rsidP="002F49F8">
      <w:pPr>
        <w:pStyle w:val="Subtitle"/>
        <w:spacing w:after="0" w:line="240" w:lineRule="auto"/>
      </w:pPr>
    </w:p>
    <w:p w14:paraId="265828A1" w14:textId="77777777" w:rsidR="002F49F8" w:rsidRDefault="002F49F8" w:rsidP="002F49F8">
      <w:pPr>
        <w:pStyle w:val="Subtitle"/>
        <w:spacing w:after="0" w:line="240" w:lineRule="auto"/>
      </w:pPr>
    </w:p>
    <w:p w14:paraId="7862F965" w14:textId="38C710AA" w:rsidR="00191C44" w:rsidRPr="00191C44" w:rsidRDefault="008C44F1" w:rsidP="002F49F8">
      <w:pPr>
        <w:pStyle w:val="Subtitle"/>
        <w:spacing w:after="0" w:line="240" w:lineRule="auto"/>
      </w:pPr>
      <w:r>
        <w:t xml:space="preserve">PURPOSE OF </w:t>
      </w:r>
      <w:r w:rsidR="006828BB">
        <w:t>DHR</w:t>
      </w:r>
    </w:p>
    <w:p w14:paraId="55F6E95D" w14:textId="76971644" w:rsidR="006828BB" w:rsidRDefault="006828BB" w:rsidP="006828BB">
      <w:pPr>
        <w:spacing w:after="0" w:line="240" w:lineRule="auto"/>
      </w:pPr>
      <w:r>
        <w:t xml:space="preserve">The purpose of a Domestic Homicide Review (DHR) is to learn from deaths where there may be a link to domestic abuse. To identify meaningful lessons, agencies involved with the victim and/or perpetrator must fully understand what happened.  </w:t>
      </w:r>
    </w:p>
    <w:p w14:paraId="7C637657" w14:textId="77777777" w:rsidR="006828BB" w:rsidRDefault="006828BB" w:rsidP="006828BB">
      <w:pPr>
        <w:pStyle w:val="ListParagraph"/>
        <w:spacing w:after="0" w:line="240" w:lineRule="auto"/>
        <w:ind w:left="360"/>
      </w:pPr>
    </w:p>
    <w:p w14:paraId="0EBFD47B" w14:textId="77777777" w:rsidR="006828BB" w:rsidRDefault="006828BB" w:rsidP="006828BB">
      <w:pPr>
        <w:spacing w:after="0" w:line="240" w:lineRule="auto"/>
      </w:pPr>
      <w:r>
        <w:t xml:space="preserve">By taking a holistic approach, a DHR helps identify recommendations to reduce the risk of similar deaths in the future as well as </w:t>
      </w:r>
    </w:p>
    <w:p w14:paraId="7047234F" w14:textId="77777777" w:rsidR="006828BB" w:rsidRDefault="006828BB" w:rsidP="006828BB">
      <w:pPr>
        <w:pStyle w:val="ListParagraph"/>
        <w:spacing w:after="0" w:line="240" w:lineRule="auto"/>
        <w:ind w:left="360"/>
      </w:pPr>
    </w:p>
    <w:p w14:paraId="6C011038" w14:textId="2A02058B" w:rsidR="006828BB" w:rsidRDefault="006828BB" w:rsidP="006828BB">
      <w:pPr>
        <w:pStyle w:val="ListParagraph"/>
        <w:numPr>
          <w:ilvl w:val="0"/>
          <w:numId w:val="33"/>
        </w:numPr>
        <w:spacing w:after="0" w:line="240" w:lineRule="auto"/>
      </w:pPr>
      <w:r>
        <w:t xml:space="preserve">Demand trend (↑ / ↓ over 12 months)  </w:t>
      </w:r>
    </w:p>
    <w:p w14:paraId="2087DD19" w14:textId="4EC77BC6" w:rsidR="006828BB" w:rsidRDefault="006828BB" w:rsidP="006828BB">
      <w:pPr>
        <w:pStyle w:val="ListParagraph"/>
        <w:numPr>
          <w:ilvl w:val="0"/>
          <w:numId w:val="33"/>
        </w:numPr>
        <w:spacing w:after="0" w:line="240" w:lineRule="auto"/>
      </w:pPr>
      <w:r>
        <w:t xml:space="preserve">Workforce capacity indicators (if available)  </w:t>
      </w:r>
    </w:p>
    <w:p w14:paraId="1D952659" w14:textId="4B1CC87A" w:rsidR="006828BB" w:rsidRDefault="006828BB" w:rsidP="006828BB">
      <w:pPr>
        <w:pStyle w:val="ListParagraph"/>
        <w:numPr>
          <w:ilvl w:val="0"/>
          <w:numId w:val="33"/>
        </w:numPr>
        <w:spacing w:after="0" w:line="240" w:lineRule="auto"/>
      </w:pPr>
      <w:r>
        <w:t xml:space="preserve">Increase in high-risk or complex cases  </w:t>
      </w:r>
    </w:p>
    <w:p w14:paraId="00A875CA" w14:textId="7DECDC26" w:rsidR="00191C44" w:rsidRPr="006828BB" w:rsidRDefault="006828BB" w:rsidP="006828BB">
      <w:pPr>
        <w:pStyle w:val="ListParagraph"/>
        <w:numPr>
          <w:ilvl w:val="0"/>
          <w:numId w:val="33"/>
        </w:numPr>
        <w:spacing w:after="0" w:line="240" w:lineRule="auto"/>
        <w:rPr>
          <w:rFonts w:eastAsia="Times New Roman" w:cs="Segoe UI"/>
          <w:kern w:val="0"/>
          <w:lang w:eastAsia="en-GB"/>
          <w14:ligatures w14:val="none"/>
        </w:rPr>
      </w:pPr>
      <w:r>
        <w:t>Seasonal spikes or sudden changes</w:t>
      </w:r>
    </w:p>
    <w:p w14:paraId="0C9C4730" w14:textId="77777777" w:rsidR="006828BB" w:rsidRDefault="006828BB" w:rsidP="002F49F8">
      <w:pPr>
        <w:pStyle w:val="Subtitle"/>
        <w:spacing w:after="0" w:line="240" w:lineRule="auto"/>
      </w:pPr>
    </w:p>
    <w:p w14:paraId="4CE6B62F" w14:textId="0C7C036E" w:rsidR="007C5BF4" w:rsidRPr="00F93614" w:rsidRDefault="007C5BF4" w:rsidP="002F49F8">
      <w:pPr>
        <w:pStyle w:val="Subtitle"/>
        <w:spacing w:after="0" w:line="240" w:lineRule="auto"/>
      </w:pPr>
      <w:r w:rsidRPr="00F93614">
        <w:t>CIRCUMSTANCES</w:t>
      </w:r>
    </w:p>
    <w:p w14:paraId="414ED230" w14:textId="77777777" w:rsidR="00DD0149" w:rsidRDefault="00AF3DA0" w:rsidP="002F49F8">
      <w:pPr>
        <w:spacing w:line="240" w:lineRule="auto"/>
      </w:pPr>
      <w:r>
        <w:t xml:space="preserve">Across the period 2017–2022, Laura had extensive multi-agency contact, </w:t>
      </w:r>
      <w:r w:rsidR="00742DB6" w:rsidRPr="00742DB6">
        <w:t>mainly due</w:t>
      </w:r>
      <w:r>
        <w:t xml:space="preserve"> to repeated domestic abuse incidents. Responses remained focused on individual incidents and children, with no coordinated multi-agency recognition of escalating risk. This resulted in missed opportunities to support Laura as a victim of domestic abuse.</w:t>
      </w:r>
    </w:p>
    <w:p w14:paraId="2666041C" w14:textId="7A0F99BF" w:rsidR="007C54DE" w:rsidRPr="00F93614" w:rsidRDefault="001F1122" w:rsidP="002F49F8">
      <w:pPr>
        <w:spacing w:after="0" w:line="240" w:lineRule="auto"/>
      </w:pPr>
      <w:r w:rsidRPr="00F93614">
        <w:t>No</w:t>
      </w:r>
      <w:r w:rsidR="000721EE" w:rsidRPr="00F93614">
        <w:t xml:space="preserve"> </w:t>
      </w:r>
      <w:r w:rsidR="007C54DE" w:rsidRPr="00F93614">
        <w:t>single agency:</w:t>
      </w:r>
    </w:p>
    <w:p w14:paraId="32B865F0" w14:textId="43432A49" w:rsidR="007C54DE" w:rsidRPr="00F93614" w:rsidRDefault="007C54DE" w:rsidP="002F49F8">
      <w:pPr>
        <w:pStyle w:val="ListParagraph"/>
        <w:numPr>
          <w:ilvl w:val="0"/>
          <w:numId w:val="20"/>
        </w:numPr>
        <w:spacing w:line="240" w:lineRule="auto"/>
      </w:pPr>
      <w:r w:rsidRPr="00F93614">
        <w:t>Drew together</w:t>
      </w:r>
      <w:r w:rsidR="356C0CF9" w:rsidRPr="00F93614">
        <w:t xml:space="preserve"> a</w:t>
      </w:r>
      <w:r w:rsidRPr="00F93614">
        <w:t xml:space="preserve"> full history</w:t>
      </w:r>
    </w:p>
    <w:p w14:paraId="1E72CAF7" w14:textId="77777777" w:rsidR="007C54DE" w:rsidRPr="00F93614" w:rsidRDefault="007C54DE" w:rsidP="002F49F8">
      <w:pPr>
        <w:pStyle w:val="ListParagraph"/>
        <w:numPr>
          <w:ilvl w:val="0"/>
          <w:numId w:val="20"/>
        </w:numPr>
        <w:spacing w:line="240" w:lineRule="auto"/>
      </w:pPr>
      <w:r w:rsidRPr="00F93614">
        <w:t>Recognised escalating cumulative harm</w:t>
      </w:r>
    </w:p>
    <w:p w14:paraId="1FA72BF8" w14:textId="59DBCE8D" w:rsidR="00191C44" w:rsidRDefault="00AF3DA0" w:rsidP="007C5BF4">
      <w:pPr>
        <w:pStyle w:val="ListParagraph"/>
        <w:numPr>
          <w:ilvl w:val="0"/>
          <w:numId w:val="20"/>
        </w:numPr>
        <w:spacing w:line="240" w:lineRule="auto"/>
        <w:sectPr w:rsidR="00191C44" w:rsidSect="00191C44">
          <w:type w:val="continuous"/>
          <w:pgSz w:w="11906" w:h="16838"/>
          <w:pgMar w:top="1440" w:right="1440" w:bottom="1440" w:left="1440" w:header="708" w:footer="708" w:gutter="0"/>
          <w:pgNumType w:start="0"/>
          <w:cols w:num="2" w:space="708"/>
          <w:titlePg/>
          <w:docGrid w:linePitch="360"/>
        </w:sectPr>
      </w:pPr>
      <w:r w:rsidRPr="00DC4DA5">
        <w:t>Triggered multi-agency escalation, such as referral to a Multi-Agency Risk Assessment Conferenc</w:t>
      </w:r>
      <w:r w:rsidR="002F49F8">
        <w:t>e.</w:t>
      </w:r>
    </w:p>
    <w:p w14:paraId="6A0168F2" w14:textId="7FF7EFEE" w:rsidR="00AE3071" w:rsidRPr="00F93614" w:rsidRDefault="007A09C9" w:rsidP="007A09C9">
      <w:pPr>
        <w:pStyle w:val="Subtitle"/>
        <w:jc w:val="center"/>
      </w:pPr>
      <w:r w:rsidRPr="00F93614">
        <w:lastRenderedPageBreak/>
        <w:t>TIMELINE OF EVENTS</w:t>
      </w:r>
      <w:r w:rsidR="00CC1105" w:rsidRPr="00F93614">
        <w:t xml:space="preserve"> BEFORE LAURA’S DEATH</w:t>
      </w:r>
      <w:r w:rsidRPr="00F93614">
        <w:rPr>
          <w:noProof/>
        </w:rPr>
        <w:drawing>
          <wp:inline distT="0" distB="0" distL="0" distR="0" wp14:anchorId="25D11C19" wp14:editId="0B16DD25">
            <wp:extent cx="6596380" cy="8483330"/>
            <wp:effectExtent l="0" t="0" r="0" b="13335"/>
            <wp:docPr id="126805810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03EE68A" w14:textId="73E10C78" w:rsidR="000721EE" w:rsidRPr="00F93614" w:rsidRDefault="002D5D03" w:rsidP="0069686F">
      <w:pPr>
        <w:pStyle w:val="Subtitle"/>
        <w:spacing w:after="0"/>
      </w:pPr>
      <w:r w:rsidRPr="00F93614">
        <w:rPr>
          <w:noProof/>
          <w:sz w:val="20"/>
          <w:szCs w:val="20"/>
        </w:rPr>
        <w:lastRenderedPageBreak/>
        <w:drawing>
          <wp:anchor distT="0" distB="0" distL="114300" distR="114300" simplePos="0" relativeHeight="251659265" behindDoc="0" locked="0" layoutInCell="1" allowOverlap="1" wp14:anchorId="307D8722" wp14:editId="58E552E8">
            <wp:simplePos x="0" y="0"/>
            <wp:positionH relativeFrom="margin">
              <wp:posOffset>-401320</wp:posOffset>
            </wp:positionH>
            <wp:positionV relativeFrom="paragraph">
              <wp:posOffset>237490</wp:posOffset>
            </wp:positionV>
            <wp:extent cx="6870700" cy="8478520"/>
            <wp:effectExtent l="38100" t="0" r="63500" b="0"/>
            <wp:wrapSquare wrapText="bothSides"/>
            <wp:docPr id="1183809476"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F851C2" w:rsidRPr="00F93614">
        <w:t>KEY FINDING</w:t>
      </w:r>
      <w:r w:rsidR="0069686F" w:rsidRPr="00F93614">
        <w:t>S</w:t>
      </w:r>
    </w:p>
    <w:p w14:paraId="0E6C43B1" w14:textId="595A2F9A" w:rsidR="008C44F1" w:rsidRDefault="008C44F1">
      <w:pPr>
        <w:pStyle w:val="Subtitle"/>
        <w:spacing w:after="0"/>
        <w:rPr>
          <w:lang w:eastAsia="en-GB"/>
        </w:rPr>
      </w:pPr>
      <w:r>
        <w:lastRenderedPageBreak/>
        <w:t>RECOMMENDATIONS OF THE DOMESTIC HOMICIDE REVIEW</w:t>
      </w:r>
    </w:p>
    <w:p w14:paraId="39097648" w14:textId="070369DC" w:rsidR="00CC1105" w:rsidRPr="00F93614" w:rsidRDefault="00CC1105" w:rsidP="00CC1105">
      <w:pPr>
        <w:pStyle w:val="Subtitle"/>
      </w:pPr>
      <w:r w:rsidRPr="00F93614">
        <w:t xml:space="preserve">LEARNING FOR </w:t>
      </w:r>
      <w:r w:rsidR="001F1122" w:rsidRPr="00F93614">
        <w:t xml:space="preserve">ALL </w:t>
      </w:r>
      <w:r w:rsidR="00DD0149" w:rsidRPr="00F93614">
        <w:t>PROFESSIONALS</w:t>
      </w:r>
    </w:p>
    <w:p w14:paraId="6F6E00E0" w14:textId="0791F4AE" w:rsidR="00CC1105" w:rsidRPr="00F93614" w:rsidRDefault="00CC1105" w:rsidP="00CC1105">
      <w:pPr>
        <w:sectPr w:rsidR="00CC1105" w:rsidRPr="00F93614" w:rsidSect="007A09C9">
          <w:type w:val="continuous"/>
          <w:pgSz w:w="11906" w:h="16838"/>
          <w:pgMar w:top="1440" w:right="1440" w:bottom="1440" w:left="1440" w:header="708" w:footer="708" w:gutter="0"/>
          <w:pgNumType w:start="0"/>
          <w:cols w:space="708"/>
          <w:titlePg/>
          <w:docGrid w:linePitch="360"/>
        </w:sectPr>
      </w:pPr>
      <w:r w:rsidRPr="00F93614">
        <w:rPr>
          <w:noProof/>
        </w:rPr>
        <w:drawing>
          <wp:inline distT="0" distB="0" distL="0" distR="0" wp14:anchorId="05647ACD" wp14:editId="3C89434E">
            <wp:extent cx="5748795" cy="6768935"/>
            <wp:effectExtent l="0" t="0" r="0" b="13335"/>
            <wp:docPr id="808960361"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A1B9D3E" w14:textId="77777777" w:rsidR="00633B29" w:rsidRDefault="00633B29" w:rsidP="002D4E29">
      <w:pPr>
        <w:pStyle w:val="ListParagraph"/>
        <w:numPr>
          <w:ilvl w:val="0"/>
          <w:numId w:val="34"/>
        </w:numPr>
        <w:rPr>
          <w:lang w:eastAsia="en-GB"/>
        </w:rPr>
      </w:pPr>
      <w:r>
        <w:t xml:space="preserve">The Shropshire Domestic Abuse Pathway can be found </w:t>
      </w:r>
      <w:hyperlink r:id="rId26" w:history="1">
        <w:r>
          <w:rPr>
            <w:rStyle w:val="Hyperlink"/>
          </w:rPr>
          <w:t>here</w:t>
        </w:r>
      </w:hyperlink>
      <w:r>
        <w:t>.</w:t>
      </w:r>
    </w:p>
    <w:p w14:paraId="704DCA1C" w14:textId="77777777" w:rsidR="008C44F1" w:rsidRDefault="008C44F1" w:rsidP="002D4E29">
      <w:pPr>
        <w:pStyle w:val="ListParagraph"/>
        <w:numPr>
          <w:ilvl w:val="0"/>
          <w:numId w:val="34"/>
        </w:numPr>
        <w:rPr>
          <w:lang w:eastAsia="en-GB"/>
        </w:rPr>
      </w:pPr>
      <w:r>
        <w:t xml:space="preserve">The Shropshire Domestic Abuse Partnership Strategy can be found </w:t>
      </w:r>
      <w:hyperlink r:id="rId27" w:history="1">
        <w:r>
          <w:rPr>
            <w:rStyle w:val="Hyperlink"/>
          </w:rPr>
          <w:t>here</w:t>
        </w:r>
      </w:hyperlink>
      <w:r>
        <w:t>.</w:t>
      </w:r>
    </w:p>
    <w:p w14:paraId="6362590B" w14:textId="77777777" w:rsidR="008C44F1" w:rsidRDefault="008C44F1" w:rsidP="002D4E29">
      <w:pPr>
        <w:pStyle w:val="ListParagraph"/>
        <w:numPr>
          <w:ilvl w:val="0"/>
          <w:numId w:val="34"/>
        </w:numPr>
        <w:rPr>
          <w:lang w:eastAsia="en-GB"/>
        </w:rPr>
      </w:pPr>
      <w:r>
        <w:t xml:space="preserve">Information on domestic abuse support available in Shropshire can be found </w:t>
      </w:r>
      <w:hyperlink r:id="rId28" w:history="1">
        <w:r>
          <w:rPr>
            <w:rStyle w:val="Hyperlink"/>
          </w:rPr>
          <w:t>here</w:t>
        </w:r>
      </w:hyperlink>
      <w:r>
        <w:t>.</w:t>
      </w:r>
    </w:p>
    <w:p w14:paraId="763EDD35" w14:textId="55614B5E" w:rsidR="001047EF" w:rsidRDefault="008C44F1" w:rsidP="002D4E29">
      <w:pPr>
        <w:pStyle w:val="ListParagraph"/>
        <w:numPr>
          <w:ilvl w:val="0"/>
          <w:numId w:val="34"/>
        </w:numPr>
        <w:sectPr w:rsidR="001047EF" w:rsidSect="001047EF">
          <w:type w:val="continuous"/>
          <w:pgSz w:w="11906" w:h="16838"/>
          <w:pgMar w:top="1440" w:right="1440" w:bottom="1440" w:left="1440" w:header="708" w:footer="708" w:gutter="0"/>
          <w:pgNumType w:start="0"/>
          <w:cols w:num="2" w:space="708"/>
          <w:titlePg/>
          <w:docGrid w:linePitch="360"/>
        </w:sectPr>
      </w:pPr>
      <w:r>
        <w:t>Information about Claire’s Law, also known as the</w:t>
      </w:r>
      <w:r w:rsidR="001047EF">
        <w:t xml:space="preserve"> DVDS </w:t>
      </w:r>
      <w:r>
        <w:t xml:space="preserve">can be found </w:t>
      </w:r>
      <w:hyperlink r:id="rId29" w:history="1">
        <w:r>
          <w:rPr>
            <w:rStyle w:val="Hyperlink"/>
          </w:rPr>
          <w:t>here</w:t>
        </w:r>
      </w:hyperlink>
    </w:p>
    <w:p w14:paraId="0213441C" w14:textId="77777777" w:rsidR="00633B29" w:rsidRDefault="00633B29">
      <w:pPr>
        <w:pStyle w:val="Subtitle"/>
        <w:spacing w:after="0"/>
        <w:rPr>
          <w:lang w:eastAsia="en-GB"/>
        </w:rPr>
      </w:pPr>
      <w:r>
        <w:lastRenderedPageBreak/>
        <w:t>LEARNING FOR INDIVIDUAL AGENCIES</w:t>
      </w:r>
    </w:p>
    <w:p w14:paraId="1945DE20" w14:textId="77777777" w:rsidR="00DD0149" w:rsidRDefault="00AF3DA0" w:rsidP="004D765F">
      <w:pPr>
        <w:pStyle w:val="ListParagraph"/>
        <w:numPr>
          <w:ilvl w:val="0"/>
          <w:numId w:val="12"/>
        </w:numPr>
      </w:pPr>
      <w:r w:rsidRPr="004D765F">
        <w:rPr>
          <w:b/>
        </w:rPr>
        <w:t>Education settings</w:t>
      </w:r>
      <w:r w:rsidRPr="004D765F">
        <w:t>: Education settings must be appropriately informed where there has been police involvement relating to a parent, including where the child does not live with that parent</w:t>
      </w:r>
      <w:r w:rsidR="004D765F" w:rsidRPr="004D765F">
        <w:t>. This helps</w:t>
      </w:r>
      <w:r w:rsidRPr="004D765F">
        <w:t xml:space="preserve"> schools understand the wider context if living arrangements or contact patterns change.</w:t>
      </w:r>
    </w:p>
    <w:p w14:paraId="5CE2CC50" w14:textId="77777777" w:rsidR="00DD0149" w:rsidRDefault="00AF3DA0" w:rsidP="00505FEE">
      <w:pPr>
        <w:pStyle w:val="ListParagraph"/>
        <w:numPr>
          <w:ilvl w:val="0"/>
          <w:numId w:val="12"/>
        </w:numPr>
      </w:pPr>
      <w:r w:rsidRPr="00505FEE">
        <w:rPr>
          <w:b/>
        </w:rPr>
        <w:t xml:space="preserve">Primary </w:t>
      </w:r>
      <w:r w:rsidR="00505FEE" w:rsidRPr="00505FEE">
        <w:rPr>
          <w:b/>
          <w:bCs/>
        </w:rPr>
        <w:t>care</w:t>
      </w:r>
      <w:r w:rsidRPr="00505FEE">
        <w:t xml:space="preserve">: Strengthen professional curiosity and risk assessment where </w:t>
      </w:r>
      <w:r w:rsidR="00505FEE" w:rsidRPr="00505FEE">
        <w:t>repeated disengagement</w:t>
      </w:r>
      <w:r w:rsidRPr="00505FEE">
        <w:t xml:space="preserve"> from support</w:t>
      </w:r>
      <w:r w:rsidR="00505FEE" w:rsidRPr="00505FEE">
        <w:t xml:space="preserve"> may mean</w:t>
      </w:r>
      <w:r w:rsidRPr="00505FEE">
        <w:t xml:space="preserve"> opportunities for intervention</w:t>
      </w:r>
      <w:r w:rsidR="00505FEE" w:rsidRPr="00505FEE">
        <w:t xml:space="preserve"> are missed.</w:t>
      </w:r>
      <w:r w:rsidRPr="00505FEE">
        <w:t xml:space="preserve"> Practitioners should consider the cumulative impact of domestic abuse, mental health concerns and other risk factors, and </w:t>
      </w:r>
      <w:r w:rsidR="00505FEE" w:rsidRPr="00505FEE">
        <w:t>explore</w:t>
      </w:r>
      <w:r w:rsidRPr="00505FEE">
        <w:t xml:space="preserve"> safeguarding and multi-agency pathways where concerns persist.</w:t>
      </w:r>
    </w:p>
    <w:p w14:paraId="55DFCB3E" w14:textId="77777777" w:rsidR="00F93614" w:rsidRPr="00F93614" w:rsidRDefault="00F93614" w:rsidP="00F93614">
      <w:pPr>
        <w:pStyle w:val="ListParagraph"/>
        <w:numPr>
          <w:ilvl w:val="0"/>
          <w:numId w:val="12"/>
        </w:numPr>
        <w:rPr>
          <w:lang w:eastAsia="en-GB"/>
        </w:rPr>
      </w:pPr>
      <w:r w:rsidRPr="00F93614">
        <w:rPr>
          <w:b/>
          <w:bCs/>
        </w:rPr>
        <w:t>Safeguarding during education transitions</w:t>
      </w:r>
      <w:r w:rsidRPr="00F93614">
        <w:t>: Keep the young person’s voice central when exploring repeated or significant self-harm, including the reasons and context. Strengthen direct safeguarding handovers between feeder schools and post-16 providers for young people with significant safeguarding histories.</w:t>
      </w:r>
    </w:p>
    <w:p w14:paraId="5D9DAE54" w14:textId="77777777" w:rsidR="00AF3DA0" w:rsidRDefault="00B15F3B" w:rsidP="00B15F3B">
      <w:pPr>
        <w:pStyle w:val="ListParagraph"/>
        <w:numPr>
          <w:ilvl w:val="0"/>
          <w:numId w:val="12"/>
        </w:numPr>
        <w:rPr>
          <w:lang w:eastAsia="en-GB"/>
        </w:rPr>
      </w:pPr>
      <w:r w:rsidRPr="00B15F3B">
        <w:rPr>
          <w:b/>
          <w:bCs/>
        </w:rPr>
        <w:t>Emergency departments</w:t>
      </w:r>
      <w:r w:rsidRPr="00B15F3B">
        <w:t>: Reinforce the importance of routinely asking about domestic abuse and completing the safeguarding domestic abuse initial screening tool within emergency department practice.</w:t>
      </w:r>
    </w:p>
    <w:p w14:paraId="14FE9634" w14:textId="03226643" w:rsidR="00EC6EFE" w:rsidRPr="00F93614" w:rsidRDefault="00EC6EFE" w:rsidP="00DD0149">
      <w:pPr>
        <w:pStyle w:val="ListParagraph"/>
        <w:numPr>
          <w:ilvl w:val="0"/>
          <w:numId w:val="12"/>
        </w:numPr>
        <w:rPr>
          <w:lang w:eastAsia="en-GB"/>
        </w:rPr>
      </w:pPr>
      <w:r w:rsidRPr="00F93614">
        <w:rPr>
          <w:b/>
          <w:bCs/>
        </w:rPr>
        <w:t>Children’s social care</w:t>
      </w:r>
      <w:r w:rsidRPr="00F93614">
        <w:rPr>
          <w:lang w:eastAsia="en-GB"/>
        </w:rPr>
        <w:t xml:space="preserve">: </w:t>
      </w:r>
      <w:r w:rsidRPr="00F93614">
        <w:t>Apply greater professional curiosity when concerns are raised about a non-resident parent</w:t>
      </w:r>
      <w:r w:rsidR="007235B5" w:rsidRPr="00F93614">
        <w:t xml:space="preserve"> and </w:t>
      </w:r>
      <w:r w:rsidRPr="00F93614">
        <w:t>consider their ability to manage contact, shared care arrangements or interactions with the person causing harm.</w:t>
      </w:r>
    </w:p>
    <w:p w14:paraId="05D4FC5F" w14:textId="78C54D14" w:rsidR="00EC6EFE" w:rsidRPr="00F93614" w:rsidRDefault="00EC6EFE" w:rsidP="00DD0149">
      <w:pPr>
        <w:pStyle w:val="ListParagraph"/>
        <w:numPr>
          <w:ilvl w:val="0"/>
          <w:numId w:val="12"/>
        </w:numPr>
        <w:rPr>
          <w:lang w:eastAsia="en-GB"/>
        </w:rPr>
      </w:pPr>
      <w:r w:rsidRPr="00F93614">
        <w:rPr>
          <w:b/>
          <w:bCs/>
        </w:rPr>
        <w:t>Housing</w:t>
      </w:r>
      <w:r w:rsidRPr="00F93614">
        <w:rPr>
          <w:lang w:eastAsia="en-GB"/>
        </w:rPr>
        <w:t>:</w:t>
      </w:r>
      <w:r w:rsidR="00DC5FC6" w:rsidRPr="00F93614">
        <w:rPr>
          <w:lang w:eastAsia="en-GB"/>
        </w:rPr>
        <w:t xml:space="preserve"> </w:t>
      </w:r>
      <w:r w:rsidRPr="00F93614">
        <w:t>Ensure all housing applications are recorded on the relevant system in line with policy.</w:t>
      </w:r>
    </w:p>
    <w:p w14:paraId="30A1746F" w14:textId="16A9225E" w:rsidR="00DC5FC6" w:rsidRPr="00F93614" w:rsidRDefault="00EC6EFE" w:rsidP="00DD0149">
      <w:pPr>
        <w:pStyle w:val="ListParagraph"/>
        <w:numPr>
          <w:ilvl w:val="0"/>
          <w:numId w:val="12"/>
        </w:numPr>
        <w:rPr>
          <w:lang w:eastAsia="en-GB"/>
        </w:rPr>
      </w:pPr>
      <w:r w:rsidRPr="00F93614">
        <w:rPr>
          <w:b/>
          <w:bCs/>
        </w:rPr>
        <w:t>Ambulance services</w:t>
      </w:r>
      <w:r w:rsidRPr="00F93614">
        <w:rPr>
          <w:lang w:eastAsia="en-GB"/>
        </w:rPr>
        <w:t xml:space="preserve">: </w:t>
      </w:r>
      <w:r w:rsidRPr="00F93614">
        <w:t>Re-circulate guidance on child referrals through a seven-minute briefing.</w:t>
      </w:r>
    </w:p>
    <w:p w14:paraId="4A7F7612" w14:textId="77777777" w:rsidR="00633B29" w:rsidRDefault="00633B29">
      <w:pPr>
        <w:pStyle w:val="Subtitle"/>
        <w:spacing w:after="0"/>
        <w:rPr>
          <w:lang w:eastAsia="en-GB"/>
        </w:rPr>
      </w:pPr>
      <w:r>
        <w:t>CONCLUSION</w:t>
      </w:r>
    </w:p>
    <w:p w14:paraId="2FF2173E" w14:textId="77777777" w:rsidR="002830E1" w:rsidRPr="00F93614" w:rsidRDefault="001F1122">
      <w:pPr>
        <w:rPr>
          <w:lang w:eastAsia="en-GB"/>
        </w:rPr>
      </w:pPr>
      <w:r w:rsidRPr="00F93614">
        <w:t>This Domestic Homicide Review highlights how domestic abuse, mental health difficulties, substance use and wider pressures can cumulatively affect wellbeing, even when incidents are not assessed as high risk. Although Laura had frequent agency contact, her experiences were often viewed in isolation, with responses focused on single incidents or child safeguarding rather than her wider circumstances.</w:t>
      </w:r>
      <w:r w:rsidR="002830E1" w:rsidRPr="00F93614">
        <w:rPr>
          <w:lang w:eastAsia="en-GB"/>
        </w:rPr>
        <w:t xml:space="preserve"> </w:t>
      </w:r>
    </w:p>
    <w:p w14:paraId="6E654BBE" w14:textId="51F9D617" w:rsidR="00DD0149" w:rsidRPr="00F93614" w:rsidRDefault="001F1122">
      <w:pPr>
        <w:rPr>
          <w:lang w:eastAsia="en-GB"/>
        </w:rPr>
      </w:pPr>
      <w:r w:rsidRPr="00F93614">
        <w:t>Agencies missed opportunities to recognise Laura’s vulnerability, escalate concerns and consider adult safeguarding alongside domestic abuse support. The review emphasises the need to recognise patterns of cumulative harm, apply professional curiosity, take a whole-family approach and strengthen multi-agency information sharing.</w:t>
      </w:r>
      <w:r w:rsidRPr="00F93614">
        <w:rPr>
          <w:lang w:eastAsia="en-GB"/>
        </w:rPr>
        <w:t xml:space="preserve"> </w:t>
      </w:r>
      <w:r w:rsidRPr="00F93614">
        <w:t>Overall, the case shows how people can fall through gaps when systems focus too narrowly on thresholds, single incidents or specific cohorts. A coordinated, trauma-informed and holistic response is essential to identify risk, respond to vulnerability and prevent future harm.</w:t>
      </w:r>
    </w:p>
    <w:sectPr w:rsidR="00DD0149" w:rsidRPr="00F93614" w:rsidSect="007A09C9">
      <w:type w:val="continuous"/>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2E5C"/>
    <w:multiLevelType w:val="hybridMultilevel"/>
    <w:tmpl w:val="6E181B8C"/>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D5284"/>
    <w:multiLevelType w:val="multilevel"/>
    <w:tmpl w:val="9BB04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B61DC"/>
    <w:multiLevelType w:val="hybridMultilevel"/>
    <w:tmpl w:val="EC865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A3763F"/>
    <w:multiLevelType w:val="multilevel"/>
    <w:tmpl w:val="37BA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27D7D"/>
    <w:multiLevelType w:val="hybridMultilevel"/>
    <w:tmpl w:val="E1369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916C6E"/>
    <w:multiLevelType w:val="hybridMultilevel"/>
    <w:tmpl w:val="087E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16D7B"/>
    <w:multiLevelType w:val="multilevel"/>
    <w:tmpl w:val="B974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71396"/>
    <w:multiLevelType w:val="hybridMultilevel"/>
    <w:tmpl w:val="47E0C68C"/>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0A2297F"/>
    <w:multiLevelType w:val="multilevel"/>
    <w:tmpl w:val="3E88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2450F"/>
    <w:multiLevelType w:val="hybridMultilevel"/>
    <w:tmpl w:val="15409310"/>
    <w:lvl w:ilvl="0" w:tplc="6D76A7FE">
      <w:start w:val="2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F44D62"/>
    <w:multiLevelType w:val="hybridMultilevel"/>
    <w:tmpl w:val="D7B83516"/>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F30417"/>
    <w:multiLevelType w:val="hybridMultilevel"/>
    <w:tmpl w:val="8EF6206C"/>
    <w:lvl w:ilvl="0" w:tplc="6D76A7FE">
      <w:start w:val="2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61323"/>
    <w:multiLevelType w:val="hybridMultilevel"/>
    <w:tmpl w:val="D1D08F6A"/>
    <w:lvl w:ilvl="0" w:tplc="37FAF012">
      <w:start w:val="1"/>
      <w:numFmt w:val="bullet"/>
      <w:lvlText w:val="•"/>
      <w:lvlJc w:val="left"/>
      <w:pPr>
        <w:tabs>
          <w:tab w:val="num" w:pos="720"/>
        </w:tabs>
        <w:ind w:left="720" w:hanging="360"/>
      </w:pPr>
      <w:rPr>
        <w:rFonts w:ascii="Times New Roman" w:hAnsi="Times New Roman" w:hint="default"/>
      </w:rPr>
    </w:lvl>
    <w:lvl w:ilvl="1" w:tplc="907ED904" w:tentative="1">
      <w:start w:val="1"/>
      <w:numFmt w:val="bullet"/>
      <w:lvlText w:val="•"/>
      <w:lvlJc w:val="left"/>
      <w:pPr>
        <w:tabs>
          <w:tab w:val="num" w:pos="1440"/>
        </w:tabs>
        <w:ind w:left="1440" w:hanging="360"/>
      </w:pPr>
      <w:rPr>
        <w:rFonts w:ascii="Times New Roman" w:hAnsi="Times New Roman" w:hint="default"/>
      </w:rPr>
    </w:lvl>
    <w:lvl w:ilvl="2" w:tplc="3078BCA2" w:tentative="1">
      <w:start w:val="1"/>
      <w:numFmt w:val="bullet"/>
      <w:lvlText w:val="•"/>
      <w:lvlJc w:val="left"/>
      <w:pPr>
        <w:tabs>
          <w:tab w:val="num" w:pos="2160"/>
        </w:tabs>
        <w:ind w:left="2160" w:hanging="360"/>
      </w:pPr>
      <w:rPr>
        <w:rFonts w:ascii="Times New Roman" w:hAnsi="Times New Roman" w:hint="default"/>
      </w:rPr>
    </w:lvl>
    <w:lvl w:ilvl="3" w:tplc="3E747D32" w:tentative="1">
      <w:start w:val="1"/>
      <w:numFmt w:val="bullet"/>
      <w:lvlText w:val="•"/>
      <w:lvlJc w:val="left"/>
      <w:pPr>
        <w:tabs>
          <w:tab w:val="num" w:pos="2880"/>
        </w:tabs>
        <w:ind w:left="2880" w:hanging="360"/>
      </w:pPr>
      <w:rPr>
        <w:rFonts w:ascii="Times New Roman" w:hAnsi="Times New Roman" w:hint="default"/>
      </w:rPr>
    </w:lvl>
    <w:lvl w:ilvl="4" w:tplc="4DC4DCE8" w:tentative="1">
      <w:start w:val="1"/>
      <w:numFmt w:val="bullet"/>
      <w:lvlText w:val="•"/>
      <w:lvlJc w:val="left"/>
      <w:pPr>
        <w:tabs>
          <w:tab w:val="num" w:pos="3600"/>
        </w:tabs>
        <w:ind w:left="3600" w:hanging="360"/>
      </w:pPr>
      <w:rPr>
        <w:rFonts w:ascii="Times New Roman" w:hAnsi="Times New Roman" w:hint="default"/>
      </w:rPr>
    </w:lvl>
    <w:lvl w:ilvl="5" w:tplc="6BEA8F36" w:tentative="1">
      <w:start w:val="1"/>
      <w:numFmt w:val="bullet"/>
      <w:lvlText w:val="•"/>
      <w:lvlJc w:val="left"/>
      <w:pPr>
        <w:tabs>
          <w:tab w:val="num" w:pos="4320"/>
        </w:tabs>
        <w:ind w:left="4320" w:hanging="360"/>
      </w:pPr>
      <w:rPr>
        <w:rFonts w:ascii="Times New Roman" w:hAnsi="Times New Roman" w:hint="default"/>
      </w:rPr>
    </w:lvl>
    <w:lvl w:ilvl="6" w:tplc="99DE72E4" w:tentative="1">
      <w:start w:val="1"/>
      <w:numFmt w:val="bullet"/>
      <w:lvlText w:val="•"/>
      <w:lvlJc w:val="left"/>
      <w:pPr>
        <w:tabs>
          <w:tab w:val="num" w:pos="5040"/>
        </w:tabs>
        <w:ind w:left="5040" w:hanging="360"/>
      </w:pPr>
      <w:rPr>
        <w:rFonts w:ascii="Times New Roman" w:hAnsi="Times New Roman" w:hint="default"/>
      </w:rPr>
    </w:lvl>
    <w:lvl w:ilvl="7" w:tplc="2512A2DC" w:tentative="1">
      <w:start w:val="1"/>
      <w:numFmt w:val="bullet"/>
      <w:lvlText w:val="•"/>
      <w:lvlJc w:val="left"/>
      <w:pPr>
        <w:tabs>
          <w:tab w:val="num" w:pos="5760"/>
        </w:tabs>
        <w:ind w:left="5760" w:hanging="360"/>
      </w:pPr>
      <w:rPr>
        <w:rFonts w:ascii="Times New Roman" w:hAnsi="Times New Roman" w:hint="default"/>
      </w:rPr>
    </w:lvl>
    <w:lvl w:ilvl="8" w:tplc="6C4408D0"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490372F"/>
    <w:multiLevelType w:val="hybridMultilevel"/>
    <w:tmpl w:val="D71250B6"/>
    <w:lvl w:ilvl="0" w:tplc="CFDCC99A">
      <w:numFmt w:val="bullet"/>
      <w:lvlText w:val=""/>
      <w:lvlJc w:val="left"/>
      <w:pPr>
        <w:ind w:left="420" w:hanging="360"/>
      </w:pPr>
      <w:rPr>
        <w:rFonts w:ascii="Symbol" w:eastAsia="Times New Roman" w:hAnsi="Symbol" w:cs="Segoe U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40F1186A"/>
    <w:multiLevelType w:val="multilevel"/>
    <w:tmpl w:val="8224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190118"/>
    <w:multiLevelType w:val="hybridMultilevel"/>
    <w:tmpl w:val="2416CDAA"/>
    <w:lvl w:ilvl="0" w:tplc="6D76A7FE">
      <w:start w:val="2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A960CA"/>
    <w:multiLevelType w:val="multilevel"/>
    <w:tmpl w:val="C74A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C6399C"/>
    <w:multiLevelType w:val="multilevel"/>
    <w:tmpl w:val="BEA8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8206FC"/>
    <w:multiLevelType w:val="multilevel"/>
    <w:tmpl w:val="4214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C7816"/>
    <w:multiLevelType w:val="multilevel"/>
    <w:tmpl w:val="5EB0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BA4BA2"/>
    <w:multiLevelType w:val="hybridMultilevel"/>
    <w:tmpl w:val="89E21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F493D02"/>
    <w:multiLevelType w:val="hybridMultilevel"/>
    <w:tmpl w:val="750A64F4"/>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BB5DA3"/>
    <w:multiLevelType w:val="hybridMultilevel"/>
    <w:tmpl w:val="07187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114743"/>
    <w:multiLevelType w:val="multilevel"/>
    <w:tmpl w:val="43DC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C27E3"/>
    <w:multiLevelType w:val="hybridMultilevel"/>
    <w:tmpl w:val="E52C54C2"/>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053CC"/>
    <w:multiLevelType w:val="multilevel"/>
    <w:tmpl w:val="F150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FA3C38"/>
    <w:multiLevelType w:val="multilevel"/>
    <w:tmpl w:val="BF94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B769B9"/>
    <w:multiLevelType w:val="hybridMultilevel"/>
    <w:tmpl w:val="5F4C5258"/>
    <w:lvl w:ilvl="0" w:tplc="6D76A7FE">
      <w:start w:val="22"/>
      <w:numFmt w:val="bullet"/>
      <w:lvlText w:val="•"/>
      <w:lvlJc w:val="left"/>
      <w:pPr>
        <w:ind w:left="72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488665A"/>
    <w:multiLevelType w:val="hybridMultilevel"/>
    <w:tmpl w:val="B6988272"/>
    <w:lvl w:ilvl="0" w:tplc="6D76A7FE">
      <w:start w:val="2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BE6FA7"/>
    <w:multiLevelType w:val="multilevel"/>
    <w:tmpl w:val="5F46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A62B3F"/>
    <w:multiLevelType w:val="hybridMultilevel"/>
    <w:tmpl w:val="3B382BCE"/>
    <w:lvl w:ilvl="0" w:tplc="6D76A7FE">
      <w:start w:val="22"/>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0C043F"/>
    <w:multiLevelType w:val="multilevel"/>
    <w:tmpl w:val="47FCF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7E3208"/>
    <w:multiLevelType w:val="hybridMultilevel"/>
    <w:tmpl w:val="245C4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1E4138"/>
    <w:multiLevelType w:val="multilevel"/>
    <w:tmpl w:val="889A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6818735">
    <w:abstractNumId w:val="22"/>
  </w:num>
  <w:num w:numId="2" w16cid:durableId="1521628107">
    <w:abstractNumId w:val="30"/>
  </w:num>
  <w:num w:numId="3" w16cid:durableId="636840437">
    <w:abstractNumId w:val="9"/>
  </w:num>
  <w:num w:numId="4" w16cid:durableId="1825319117">
    <w:abstractNumId w:val="28"/>
  </w:num>
  <w:num w:numId="5" w16cid:durableId="1071123257">
    <w:abstractNumId w:val="11"/>
  </w:num>
  <w:num w:numId="6" w16cid:durableId="1686863534">
    <w:abstractNumId w:val="7"/>
  </w:num>
  <w:num w:numId="7" w16cid:durableId="416026402">
    <w:abstractNumId w:val="15"/>
  </w:num>
  <w:num w:numId="8" w16cid:durableId="1378167411">
    <w:abstractNumId w:val="10"/>
  </w:num>
  <w:num w:numId="9" w16cid:durableId="1130511779">
    <w:abstractNumId w:val="24"/>
  </w:num>
  <w:num w:numId="10" w16cid:durableId="1370178714">
    <w:abstractNumId w:val="0"/>
  </w:num>
  <w:num w:numId="11" w16cid:durableId="773524689">
    <w:abstractNumId w:val="27"/>
  </w:num>
  <w:num w:numId="12" w16cid:durableId="390812476">
    <w:abstractNumId w:val="21"/>
  </w:num>
  <w:num w:numId="13" w16cid:durableId="1685858693">
    <w:abstractNumId w:val="5"/>
  </w:num>
  <w:num w:numId="14" w16cid:durableId="457382081">
    <w:abstractNumId w:val="13"/>
  </w:num>
  <w:num w:numId="15" w16cid:durableId="1066608033">
    <w:abstractNumId w:val="12"/>
  </w:num>
  <w:num w:numId="16" w16cid:durableId="304436169">
    <w:abstractNumId w:val="31"/>
  </w:num>
  <w:num w:numId="17" w16cid:durableId="935165059">
    <w:abstractNumId w:val="3"/>
  </w:num>
  <w:num w:numId="18" w16cid:durableId="511340232">
    <w:abstractNumId w:val="14"/>
  </w:num>
  <w:num w:numId="19" w16cid:durableId="605115349">
    <w:abstractNumId w:val="20"/>
  </w:num>
  <w:num w:numId="20" w16cid:durableId="639919394">
    <w:abstractNumId w:val="2"/>
  </w:num>
  <w:num w:numId="21" w16cid:durableId="1691299923">
    <w:abstractNumId w:val="19"/>
  </w:num>
  <w:num w:numId="22" w16cid:durableId="320239155">
    <w:abstractNumId w:val="8"/>
  </w:num>
  <w:num w:numId="23" w16cid:durableId="350492550">
    <w:abstractNumId w:val="1"/>
  </w:num>
  <w:num w:numId="24" w16cid:durableId="1773436768">
    <w:abstractNumId w:val="16"/>
  </w:num>
  <w:num w:numId="25" w16cid:durableId="402996787">
    <w:abstractNumId w:val="18"/>
  </w:num>
  <w:num w:numId="26" w16cid:durableId="1924876818">
    <w:abstractNumId w:val="26"/>
  </w:num>
  <w:num w:numId="27" w16cid:durableId="32464906">
    <w:abstractNumId w:val="23"/>
  </w:num>
  <w:num w:numId="28" w16cid:durableId="800266516">
    <w:abstractNumId w:val="29"/>
  </w:num>
  <w:num w:numId="29" w16cid:durableId="696781975">
    <w:abstractNumId w:val="17"/>
  </w:num>
  <w:num w:numId="30" w16cid:durableId="1672633603">
    <w:abstractNumId w:val="33"/>
  </w:num>
  <w:num w:numId="31" w16cid:durableId="1608925395">
    <w:abstractNumId w:val="25"/>
  </w:num>
  <w:num w:numId="32" w16cid:durableId="1827017073">
    <w:abstractNumId w:val="6"/>
  </w:num>
  <w:num w:numId="33" w16cid:durableId="2104757742">
    <w:abstractNumId w:val="4"/>
  </w:num>
  <w:num w:numId="34" w16cid:durableId="28882881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BF4"/>
    <w:rsid w:val="000132DA"/>
    <w:rsid w:val="00015DC1"/>
    <w:rsid w:val="0006607A"/>
    <w:rsid w:val="000721EE"/>
    <w:rsid w:val="000729A0"/>
    <w:rsid w:val="00076B68"/>
    <w:rsid w:val="0009254C"/>
    <w:rsid w:val="000C1F45"/>
    <w:rsid w:val="001047EF"/>
    <w:rsid w:val="0011662E"/>
    <w:rsid w:val="00121D56"/>
    <w:rsid w:val="00186CC3"/>
    <w:rsid w:val="00191C44"/>
    <w:rsid w:val="001A32AF"/>
    <w:rsid w:val="001E6470"/>
    <w:rsid w:val="001F1122"/>
    <w:rsid w:val="001F4642"/>
    <w:rsid w:val="001F6880"/>
    <w:rsid w:val="00200981"/>
    <w:rsid w:val="00205C03"/>
    <w:rsid w:val="00240D8A"/>
    <w:rsid w:val="002830E1"/>
    <w:rsid w:val="00285888"/>
    <w:rsid w:val="00292F2F"/>
    <w:rsid w:val="00293723"/>
    <w:rsid w:val="00295702"/>
    <w:rsid w:val="002C0654"/>
    <w:rsid w:val="002C1F94"/>
    <w:rsid w:val="002D4E29"/>
    <w:rsid w:val="002D5D03"/>
    <w:rsid w:val="002E3157"/>
    <w:rsid w:val="002F2E1E"/>
    <w:rsid w:val="002F49F8"/>
    <w:rsid w:val="00306FFD"/>
    <w:rsid w:val="00316FC2"/>
    <w:rsid w:val="003438B8"/>
    <w:rsid w:val="00346A98"/>
    <w:rsid w:val="003538EA"/>
    <w:rsid w:val="0037185F"/>
    <w:rsid w:val="00381AE3"/>
    <w:rsid w:val="00394BF3"/>
    <w:rsid w:val="0039694E"/>
    <w:rsid w:val="003B613A"/>
    <w:rsid w:val="003D2DE1"/>
    <w:rsid w:val="003F1CAF"/>
    <w:rsid w:val="0040102A"/>
    <w:rsid w:val="004160CB"/>
    <w:rsid w:val="00440CC6"/>
    <w:rsid w:val="00471FFD"/>
    <w:rsid w:val="004A299B"/>
    <w:rsid w:val="004D765F"/>
    <w:rsid w:val="004F0E19"/>
    <w:rsid w:val="00505FEE"/>
    <w:rsid w:val="00535BB0"/>
    <w:rsid w:val="005556CC"/>
    <w:rsid w:val="00572188"/>
    <w:rsid w:val="005A4B0E"/>
    <w:rsid w:val="006158A6"/>
    <w:rsid w:val="00633B29"/>
    <w:rsid w:val="006519F4"/>
    <w:rsid w:val="006609F6"/>
    <w:rsid w:val="00664C48"/>
    <w:rsid w:val="006828BB"/>
    <w:rsid w:val="0069686F"/>
    <w:rsid w:val="006B4B33"/>
    <w:rsid w:val="006F267F"/>
    <w:rsid w:val="007143BD"/>
    <w:rsid w:val="007235B5"/>
    <w:rsid w:val="00742DB6"/>
    <w:rsid w:val="007521D5"/>
    <w:rsid w:val="0079469B"/>
    <w:rsid w:val="007A0138"/>
    <w:rsid w:val="007A09C9"/>
    <w:rsid w:val="007B4DD9"/>
    <w:rsid w:val="007C54DE"/>
    <w:rsid w:val="007C5830"/>
    <w:rsid w:val="007C5BF4"/>
    <w:rsid w:val="007C5CA6"/>
    <w:rsid w:val="0082640F"/>
    <w:rsid w:val="0082696F"/>
    <w:rsid w:val="008316AA"/>
    <w:rsid w:val="00867ABF"/>
    <w:rsid w:val="00896BF6"/>
    <w:rsid w:val="008B3712"/>
    <w:rsid w:val="008B600F"/>
    <w:rsid w:val="008C44F1"/>
    <w:rsid w:val="008D0AEF"/>
    <w:rsid w:val="008E0180"/>
    <w:rsid w:val="008E2F3B"/>
    <w:rsid w:val="008E40CC"/>
    <w:rsid w:val="00900ECB"/>
    <w:rsid w:val="009511BE"/>
    <w:rsid w:val="009704B6"/>
    <w:rsid w:val="00977E5E"/>
    <w:rsid w:val="009A0FC2"/>
    <w:rsid w:val="009A6B52"/>
    <w:rsid w:val="009C43FA"/>
    <w:rsid w:val="009D1333"/>
    <w:rsid w:val="009E678A"/>
    <w:rsid w:val="00A13893"/>
    <w:rsid w:val="00A2259D"/>
    <w:rsid w:val="00A4184D"/>
    <w:rsid w:val="00A57E60"/>
    <w:rsid w:val="00A62E86"/>
    <w:rsid w:val="00A8182E"/>
    <w:rsid w:val="00A91ED7"/>
    <w:rsid w:val="00AB7D6B"/>
    <w:rsid w:val="00AD0754"/>
    <w:rsid w:val="00AD6597"/>
    <w:rsid w:val="00AE26A9"/>
    <w:rsid w:val="00AE2C68"/>
    <w:rsid w:val="00AE3071"/>
    <w:rsid w:val="00AF3DA0"/>
    <w:rsid w:val="00B006CA"/>
    <w:rsid w:val="00B04F6A"/>
    <w:rsid w:val="00B051FA"/>
    <w:rsid w:val="00B15F3B"/>
    <w:rsid w:val="00B6261B"/>
    <w:rsid w:val="00B8563B"/>
    <w:rsid w:val="00BB3AE8"/>
    <w:rsid w:val="00BD5104"/>
    <w:rsid w:val="00BE49C9"/>
    <w:rsid w:val="00C06EDE"/>
    <w:rsid w:val="00C10079"/>
    <w:rsid w:val="00C401B5"/>
    <w:rsid w:val="00C51BD2"/>
    <w:rsid w:val="00CA25EB"/>
    <w:rsid w:val="00CB6D03"/>
    <w:rsid w:val="00CC1105"/>
    <w:rsid w:val="00CE7BCB"/>
    <w:rsid w:val="00CF0E35"/>
    <w:rsid w:val="00D067A3"/>
    <w:rsid w:val="00D36B80"/>
    <w:rsid w:val="00D54EBE"/>
    <w:rsid w:val="00D750BD"/>
    <w:rsid w:val="00D941EF"/>
    <w:rsid w:val="00DC4803"/>
    <w:rsid w:val="00DC4DA5"/>
    <w:rsid w:val="00DC5FC6"/>
    <w:rsid w:val="00DD0149"/>
    <w:rsid w:val="00DD07F7"/>
    <w:rsid w:val="00E05C14"/>
    <w:rsid w:val="00E12587"/>
    <w:rsid w:val="00E203BC"/>
    <w:rsid w:val="00E21113"/>
    <w:rsid w:val="00E4540A"/>
    <w:rsid w:val="00E45729"/>
    <w:rsid w:val="00E84C38"/>
    <w:rsid w:val="00E95C8A"/>
    <w:rsid w:val="00EC2A75"/>
    <w:rsid w:val="00EC47E7"/>
    <w:rsid w:val="00EC6EFE"/>
    <w:rsid w:val="00F02BE5"/>
    <w:rsid w:val="00F13DCC"/>
    <w:rsid w:val="00F3246A"/>
    <w:rsid w:val="00F545B2"/>
    <w:rsid w:val="00F549EF"/>
    <w:rsid w:val="00F61A35"/>
    <w:rsid w:val="00F84271"/>
    <w:rsid w:val="00F851C2"/>
    <w:rsid w:val="00F93614"/>
    <w:rsid w:val="00FB75FD"/>
    <w:rsid w:val="00FC3ED7"/>
    <w:rsid w:val="00FC5914"/>
    <w:rsid w:val="00FE073F"/>
    <w:rsid w:val="00FF0A6D"/>
    <w:rsid w:val="00FF667E"/>
    <w:rsid w:val="356C0CF9"/>
    <w:rsid w:val="62D8D4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9B01"/>
  <w15:chartTrackingRefBased/>
  <w15:docId w15:val="{B6977293-D9FD-426F-82C9-5FBD7F57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B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5B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5B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5B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B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B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B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B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B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B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5B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5B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5B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B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B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B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B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BF4"/>
    <w:rPr>
      <w:rFonts w:eastAsiaTheme="majorEastAsia" w:cstheme="majorBidi"/>
      <w:color w:val="272727" w:themeColor="text1" w:themeTint="D8"/>
    </w:rPr>
  </w:style>
  <w:style w:type="paragraph" w:styleId="Title">
    <w:name w:val="Title"/>
    <w:basedOn w:val="Normal"/>
    <w:next w:val="Normal"/>
    <w:link w:val="TitleChar"/>
    <w:uiPriority w:val="10"/>
    <w:qFormat/>
    <w:rsid w:val="007C5B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B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4DE"/>
    <w:pPr>
      <w:numPr>
        <w:ilvl w:val="1"/>
      </w:numPr>
    </w:pPr>
    <w:rPr>
      <w:rFonts w:eastAsiaTheme="majorEastAsia" w:cstheme="majorBidi"/>
      <w:b/>
      <w:color w:val="153D63" w:themeColor="text2" w:themeTint="E6"/>
      <w:spacing w:val="15"/>
      <w:sz w:val="28"/>
      <w:szCs w:val="28"/>
    </w:rPr>
  </w:style>
  <w:style w:type="character" w:customStyle="1" w:styleId="SubtitleChar">
    <w:name w:val="Subtitle Char"/>
    <w:basedOn w:val="DefaultParagraphFont"/>
    <w:link w:val="Subtitle"/>
    <w:uiPriority w:val="11"/>
    <w:rsid w:val="007C54DE"/>
    <w:rPr>
      <w:rFonts w:eastAsiaTheme="majorEastAsia" w:cstheme="majorBidi"/>
      <w:b/>
      <w:color w:val="153D63" w:themeColor="text2" w:themeTint="E6"/>
      <w:spacing w:val="15"/>
      <w:sz w:val="28"/>
      <w:szCs w:val="28"/>
    </w:rPr>
  </w:style>
  <w:style w:type="paragraph" w:styleId="Quote">
    <w:name w:val="Quote"/>
    <w:basedOn w:val="Normal"/>
    <w:next w:val="Normal"/>
    <w:link w:val="QuoteChar"/>
    <w:uiPriority w:val="29"/>
    <w:qFormat/>
    <w:rsid w:val="007C5BF4"/>
    <w:pPr>
      <w:spacing w:before="160"/>
      <w:jc w:val="center"/>
    </w:pPr>
    <w:rPr>
      <w:i/>
      <w:iCs/>
      <w:color w:val="404040" w:themeColor="text1" w:themeTint="BF"/>
    </w:rPr>
  </w:style>
  <w:style w:type="character" w:customStyle="1" w:styleId="QuoteChar">
    <w:name w:val="Quote Char"/>
    <w:basedOn w:val="DefaultParagraphFont"/>
    <w:link w:val="Quote"/>
    <w:uiPriority w:val="29"/>
    <w:rsid w:val="007C5BF4"/>
    <w:rPr>
      <w:i/>
      <w:iCs/>
      <w:color w:val="404040" w:themeColor="text1" w:themeTint="BF"/>
    </w:rPr>
  </w:style>
  <w:style w:type="paragraph" w:styleId="ListParagraph">
    <w:name w:val="List Paragraph"/>
    <w:basedOn w:val="Normal"/>
    <w:uiPriority w:val="34"/>
    <w:qFormat/>
    <w:rsid w:val="007C5BF4"/>
    <w:pPr>
      <w:ind w:left="720"/>
      <w:contextualSpacing/>
    </w:pPr>
  </w:style>
  <w:style w:type="character" w:styleId="IntenseEmphasis">
    <w:name w:val="Intense Emphasis"/>
    <w:basedOn w:val="DefaultParagraphFont"/>
    <w:uiPriority w:val="21"/>
    <w:qFormat/>
    <w:rsid w:val="007C5BF4"/>
    <w:rPr>
      <w:i/>
      <w:iCs/>
      <w:color w:val="0F4761" w:themeColor="accent1" w:themeShade="BF"/>
    </w:rPr>
  </w:style>
  <w:style w:type="paragraph" w:styleId="IntenseQuote">
    <w:name w:val="Intense Quote"/>
    <w:basedOn w:val="Normal"/>
    <w:next w:val="Normal"/>
    <w:link w:val="IntenseQuoteChar"/>
    <w:uiPriority w:val="30"/>
    <w:qFormat/>
    <w:rsid w:val="007C5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BF4"/>
    <w:rPr>
      <w:i/>
      <w:iCs/>
      <w:color w:val="0F4761" w:themeColor="accent1" w:themeShade="BF"/>
    </w:rPr>
  </w:style>
  <w:style w:type="character" w:styleId="IntenseReference">
    <w:name w:val="Intense Reference"/>
    <w:basedOn w:val="DefaultParagraphFont"/>
    <w:uiPriority w:val="32"/>
    <w:qFormat/>
    <w:rsid w:val="007C5BF4"/>
    <w:rPr>
      <w:b/>
      <w:bCs/>
      <w:smallCaps/>
      <w:color w:val="0F4761" w:themeColor="accent1" w:themeShade="BF"/>
      <w:spacing w:val="5"/>
    </w:rPr>
  </w:style>
  <w:style w:type="paragraph" w:styleId="NoSpacing">
    <w:name w:val="No Spacing"/>
    <w:uiPriority w:val="1"/>
    <w:qFormat/>
    <w:rsid w:val="007C5BF4"/>
    <w:pPr>
      <w:spacing w:after="0" w:line="240" w:lineRule="auto"/>
    </w:pPr>
    <w:rPr>
      <w:color w:val="0E2841" w:themeColor="text2"/>
      <w:kern w:val="0"/>
      <w:sz w:val="20"/>
      <w:szCs w:val="20"/>
      <w:lang w:val="en-US"/>
      <w14:ligatures w14:val="none"/>
    </w:rPr>
  </w:style>
  <w:style w:type="character" w:styleId="Hyperlink">
    <w:name w:val="Hyperlink"/>
    <w:basedOn w:val="DefaultParagraphFont"/>
    <w:uiPriority w:val="99"/>
    <w:unhideWhenUsed/>
    <w:rsid w:val="0082696F"/>
    <w:rPr>
      <w:color w:val="467886" w:themeColor="hyperlink"/>
      <w:u w:val="single"/>
    </w:rPr>
  </w:style>
  <w:style w:type="character" w:styleId="UnresolvedMention">
    <w:name w:val="Unresolved Mention"/>
    <w:basedOn w:val="DefaultParagraphFont"/>
    <w:uiPriority w:val="99"/>
    <w:semiHidden/>
    <w:unhideWhenUsed/>
    <w:rsid w:val="0082696F"/>
    <w:rPr>
      <w:color w:val="605E5C"/>
      <w:shd w:val="clear" w:color="auto" w:fill="E1DFDD"/>
    </w:rPr>
  </w:style>
  <w:style w:type="paragraph" w:styleId="Revision">
    <w:name w:val="Revision"/>
    <w:hidden/>
    <w:uiPriority w:val="99"/>
    <w:semiHidden/>
    <w:rsid w:val="00E4540A"/>
    <w:pPr>
      <w:spacing w:after="0" w:line="240" w:lineRule="auto"/>
    </w:pPr>
  </w:style>
  <w:style w:type="character" w:styleId="CommentReference">
    <w:name w:val="annotation reference"/>
    <w:basedOn w:val="DefaultParagraphFont"/>
    <w:uiPriority w:val="99"/>
    <w:semiHidden/>
    <w:unhideWhenUsed/>
    <w:rsid w:val="00381AE3"/>
    <w:rPr>
      <w:sz w:val="16"/>
      <w:szCs w:val="16"/>
    </w:rPr>
  </w:style>
  <w:style w:type="paragraph" w:styleId="CommentText">
    <w:name w:val="annotation text"/>
    <w:basedOn w:val="Normal"/>
    <w:link w:val="CommentTextChar"/>
    <w:uiPriority w:val="99"/>
    <w:unhideWhenUsed/>
    <w:rsid w:val="00381AE3"/>
    <w:pPr>
      <w:spacing w:line="240" w:lineRule="auto"/>
    </w:pPr>
    <w:rPr>
      <w:sz w:val="20"/>
      <w:szCs w:val="20"/>
    </w:rPr>
  </w:style>
  <w:style w:type="character" w:customStyle="1" w:styleId="CommentTextChar">
    <w:name w:val="Comment Text Char"/>
    <w:basedOn w:val="DefaultParagraphFont"/>
    <w:link w:val="CommentText"/>
    <w:uiPriority w:val="99"/>
    <w:rsid w:val="00381AE3"/>
    <w:rPr>
      <w:sz w:val="20"/>
      <w:szCs w:val="20"/>
    </w:rPr>
  </w:style>
  <w:style w:type="paragraph" w:styleId="CommentSubject">
    <w:name w:val="annotation subject"/>
    <w:basedOn w:val="CommentText"/>
    <w:next w:val="CommentText"/>
    <w:link w:val="CommentSubjectChar"/>
    <w:uiPriority w:val="99"/>
    <w:semiHidden/>
    <w:unhideWhenUsed/>
    <w:rsid w:val="00381AE3"/>
    <w:rPr>
      <w:b/>
      <w:bCs/>
    </w:rPr>
  </w:style>
  <w:style w:type="character" w:customStyle="1" w:styleId="CommentSubjectChar">
    <w:name w:val="Comment Subject Char"/>
    <w:basedOn w:val="CommentTextChar"/>
    <w:link w:val="CommentSubject"/>
    <w:uiPriority w:val="99"/>
    <w:semiHidden/>
    <w:rsid w:val="00381A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s://www.shropshiresafeguardingcommunitypartnership.co.uk/media/2dbja0qk/domestic-abuse-pathway.pdf" TargetMode="External"/><Relationship Id="rId3" Type="http://schemas.openxmlformats.org/officeDocument/2006/relationships/customXml" Target="../customXml/item3.xml"/><Relationship Id="rId21" Type="http://schemas.openxmlformats.org/officeDocument/2006/relationships/diagramData" Target="diagrams/data3.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s://www.gov.uk/government/publications/domestic-violence-disclosure-scheme-clares-law"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diagramColors" Target="diagrams/colors3.xml"/><Relationship Id="rId5"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s://www.shropshiresafeguardingcommunitypartnership.co.uk/partnership-priority-areas/local-domestic-abuse-partnership-board/domestic-abuse-contact-numbers-resources-and-links-to-other-organisations/" TargetMode="External"/><Relationship Id="rId10" Type="http://schemas.openxmlformats.org/officeDocument/2006/relationships/hyperlink" Target="https://assets.publishing.service.gov.uk/media/5a80be88e5274a2e87dbb923/DHR-Statutory-Guidance-161206.pdf" TargetMode="External"/><Relationship Id="rId19" Type="http://schemas.openxmlformats.org/officeDocument/2006/relationships/diagramColors" Target="diagrams/colors2.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hyperlink" Target="https://next.shropshire.gov.uk/media/3srawhnw/shropshire-domestic-abuse-partnership-strategy-2026-final.pdf"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5_1#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3_2#1">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C61F26-FD5F-41EC-879A-02FC0E2AF844}" type="doc">
      <dgm:prSet loTypeId="urn:microsoft.com/office/officeart/2005/8/layout/bProcess3" loCatId="process" qsTypeId="urn:microsoft.com/office/officeart/2005/8/quickstyle/simple1#1" qsCatId="simple" csTypeId="urn:microsoft.com/office/officeart/2005/8/colors/accent5_1#1" csCatId="accent5" phldr="1"/>
      <dgm:spPr/>
      <dgm:t>
        <a:bodyPr/>
        <a:lstStyle/>
        <a:p>
          <a:endParaRPr lang="en-GB"/>
        </a:p>
      </dgm:t>
    </dgm:pt>
    <dgm:pt modelId="{39627A9B-7ED1-419A-8B39-DA30AA55A61D}">
      <dgm:prSet phldrT="[Text]" custT="1"/>
      <dgm:spPr/>
      <dgm:t>
        <a:bodyPr/>
        <a:lstStyle/>
        <a:p>
          <a:pPr algn="l"/>
          <a:r>
            <a:rPr lang="en-GB" sz="1200" b="1"/>
            <a:t>2017</a:t>
          </a:r>
          <a:br>
            <a:rPr lang="en-GB" sz="1200" b="1"/>
          </a:br>
          <a:r>
            <a:rPr lang="en-GB" sz="1050"/>
            <a:t>Agencies first became involved after Laura separated from a partner and reported ongoing harassment. Police attended several domestic abuse-related incidents, which were assessed as standard or medium risk. Laura also attended hospital following an incident of self-harm or overdose linked to alcohol use.</a:t>
          </a:r>
          <a:endParaRPr lang="en-GB" sz="1200" b="1"/>
        </a:p>
      </dgm:t>
    </dgm:pt>
    <dgm:pt modelId="{374296AB-DC3B-4D39-B1B9-F77DB77A8F0F}" type="parTrans" cxnId="{D8346110-F36A-44D0-9F52-514DE9CA90B0}">
      <dgm:prSet/>
      <dgm:spPr/>
      <dgm:t>
        <a:bodyPr/>
        <a:lstStyle/>
        <a:p>
          <a:pPr algn="l"/>
          <a:endParaRPr lang="en-GB" sz="3200"/>
        </a:p>
      </dgm:t>
    </dgm:pt>
    <dgm:pt modelId="{A3DAC126-4CC6-4E1F-A854-CCFE86B914B0}" type="sibTrans" cxnId="{D8346110-F36A-44D0-9F52-514DE9CA90B0}">
      <dgm:prSet custT="1"/>
      <dgm:spPr/>
      <dgm:t>
        <a:bodyPr/>
        <a:lstStyle/>
        <a:p>
          <a:pPr algn="l"/>
          <a:endParaRPr lang="en-GB" sz="3200"/>
        </a:p>
      </dgm:t>
    </dgm:pt>
    <dgm:pt modelId="{1FB004F5-4838-4254-A66B-DBF051A05496}">
      <dgm:prSet custT="1"/>
      <dgm:spPr/>
      <dgm:t>
        <a:bodyPr/>
        <a:lstStyle/>
        <a:p>
          <a:pPr algn="l"/>
          <a:r>
            <a:rPr lang="en-GB" sz="1200" b="1"/>
            <a:t>2019</a:t>
          </a:r>
          <a:br>
            <a:rPr lang="en-GB" sz="1200" b="1"/>
          </a:br>
          <a:r>
            <a:rPr lang="en-GB" sz="1050"/>
            <a:t>A serious family-related incident involving Laura’s child and a former partner led to further children’s social care involvement, including Section 47 enquiries and Child in Need support. Plans were later closed. During this period, Laura also progressed professionally into a senior management role.</a:t>
          </a:r>
          <a:endParaRPr lang="en-GB" sz="1200" b="1"/>
        </a:p>
      </dgm:t>
    </dgm:pt>
    <dgm:pt modelId="{EE56C112-EBE4-4A6B-9E86-D2F909C7ADA2}" type="parTrans" cxnId="{2CC9FF2B-1D0A-4D87-AA90-36E74AD3A81E}">
      <dgm:prSet/>
      <dgm:spPr/>
      <dgm:t>
        <a:bodyPr/>
        <a:lstStyle/>
        <a:p>
          <a:pPr algn="l"/>
          <a:endParaRPr lang="en-GB" sz="3200"/>
        </a:p>
      </dgm:t>
    </dgm:pt>
    <dgm:pt modelId="{B8BA6A06-9577-48BA-A594-FD4E717F60C7}" type="sibTrans" cxnId="{2CC9FF2B-1D0A-4D87-AA90-36E74AD3A81E}">
      <dgm:prSet custT="1"/>
      <dgm:spPr/>
      <dgm:t>
        <a:bodyPr/>
        <a:lstStyle/>
        <a:p>
          <a:pPr algn="l"/>
          <a:endParaRPr lang="en-GB" sz="3200"/>
        </a:p>
      </dgm:t>
    </dgm:pt>
    <dgm:pt modelId="{8BE0EC0E-CC01-406A-BCF5-63A8620B4A47}">
      <dgm:prSet custT="1"/>
      <dgm:spPr/>
      <dgm:t>
        <a:bodyPr/>
        <a:lstStyle/>
        <a:p>
          <a:pPr algn="l"/>
          <a:r>
            <a:rPr lang="en-GB" sz="1200" b="1"/>
            <a:t>2020:</a:t>
          </a:r>
          <a:br>
            <a:rPr lang="en-GB" sz="1200" b="1"/>
          </a:br>
          <a:r>
            <a:rPr lang="en-GB" sz="1050"/>
            <a:t>Laura began a new intimate relationship while harassment from a previous partner was still ongoing. A serious assault was reported within the new relationship, leading to increased contact with police, health services and children’s social care</a:t>
          </a:r>
          <a:r>
            <a:rPr lang="en-GB" sz="1100"/>
            <a:t>.</a:t>
          </a:r>
          <a:endParaRPr lang="en-GB" sz="1200" b="1"/>
        </a:p>
      </dgm:t>
    </dgm:pt>
    <dgm:pt modelId="{867F0B58-D30C-4D6F-8685-CD5848EE577E}" type="parTrans" cxnId="{4CDE54ED-1985-4C2D-BFC1-EAD8A0F5456F}">
      <dgm:prSet/>
      <dgm:spPr/>
      <dgm:t>
        <a:bodyPr/>
        <a:lstStyle/>
        <a:p>
          <a:pPr algn="l"/>
          <a:endParaRPr lang="en-GB" sz="3200"/>
        </a:p>
      </dgm:t>
    </dgm:pt>
    <dgm:pt modelId="{48EB58A9-A2F1-4F4A-9AB2-AEEE9B3C4939}" type="sibTrans" cxnId="{4CDE54ED-1985-4C2D-BFC1-EAD8A0F5456F}">
      <dgm:prSet custT="1"/>
      <dgm:spPr/>
      <dgm:t>
        <a:bodyPr/>
        <a:lstStyle/>
        <a:p>
          <a:pPr algn="l"/>
          <a:endParaRPr lang="en-GB" sz="3200"/>
        </a:p>
      </dgm:t>
    </dgm:pt>
    <dgm:pt modelId="{5DCC523D-BFD1-496A-B43B-809EC3C3B7CA}">
      <dgm:prSet custT="1"/>
      <dgm:spPr/>
      <dgm:t>
        <a:bodyPr/>
        <a:lstStyle/>
        <a:p>
          <a:pPr algn="l"/>
          <a:r>
            <a:rPr lang="en-GB" sz="1200" b="1"/>
            <a:t>2021:</a:t>
          </a:r>
          <a:br>
            <a:rPr lang="en-GB" sz="1200" b="1"/>
          </a:br>
          <a:r>
            <a:rPr lang="en-GB" sz="1050"/>
            <a:t>There was a rise in domestic abuse incidents involving intimate partner abuse and wider family conflict. Concerns also increased around alcohol use, substance misuse, mental health and emotional distress. Episodes of violence within the family were reported. Laura’s employer became involved due to safeguarding and conduct concerns.</a:t>
          </a:r>
          <a:endParaRPr lang="en-GB" sz="1200" b="1"/>
        </a:p>
      </dgm:t>
    </dgm:pt>
    <dgm:pt modelId="{65FAB5FB-88D7-456B-BA5A-FFB360708736}" type="parTrans" cxnId="{39D35A6C-4666-4DFA-9551-59137FC00BB9}">
      <dgm:prSet/>
      <dgm:spPr/>
      <dgm:t>
        <a:bodyPr/>
        <a:lstStyle/>
        <a:p>
          <a:pPr algn="l"/>
          <a:endParaRPr lang="en-GB" sz="3200"/>
        </a:p>
      </dgm:t>
    </dgm:pt>
    <dgm:pt modelId="{46D910A1-8B8A-4173-A4A6-FDBB5FFA5982}" type="sibTrans" cxnId="{39D35A6C-4666-4DFA-9551-59137FC00BB9}">
      <dgm:prSet custT="1"/>
      <dgm:spPr/>
      <dgm:t>
        <a:bodyPr/>
        <a:lstStyle/>
        <a:p>
          <a:pPr algn="l"/>
          <a:endParaRPr lang="en-GB" sz="3200"/>
        </a:p>
      </dgm:t>
    </dgm:pt>
    <dgm:pt modelId="{B26ACE93-5EC9-4B69-AD8C-AE17A9ADAD29}">
      <dgm:prSet custT="1"/>
      <dgm:spPr/>
      <dgm:t>
        <a:bodyPr/>
        <a:lstStyle/>
        <a:p>
          <a:pPr algn="l"/>
          <a:r>
            <a:rPr lang="en-GB" sz="1200" b="1"/>
            <a:t>Late 2021 to early 2022:</a:t>
          </a:r>
          <a:br>
            <a:rPr lang="en-GB" sz="1200" b="1"/>
          </a:br>
          <a:r>
            <a:rPr lang="en-GB" sz="1050"/>
            <a:t>Laura disclosed coercive and controlling behaviour. During this period, a partner was imprisoned following a serious offence. A referral was made to specialist domestic abuse support, although engagement was delayed or declined. Substance use concerns were also identified through employment processes, while financial and housing pressures continued to increase.</a:t>
          </a:r>
          <a:endParaRPr lang="en-GB" sz="1400" b="1"/>
        </a:p>
      </dgm:t>
    </dgm:pt>
    <dgm:pt modelId="{7EF4E175-7B98-4835-B101-A500724CE3E7}" type="parTrans" cxnId="{397D94D6-CF20-47F3-B09A-E3976F95AE56}">
      <dgm:prSet/>
      <dgm:spPr/>
      <dgm:t>
        <a:bodyPr/>
        <a:lstStyle/>
        <a:p>
          <a:pPr algn="l"/>
          <a:endParaRPr lang="en-GB" sz="3200"/>
        </a:p>
      </dgm:t>
    </dgm:pt>
    <dgm:pt modelId="{0A520768-61D2-4C72-B9E9-199125955766}" type="sibTrans" cxnId="{397D94D6-CF20-47F3-B09A-E3976F95AE56}">
      <dgm:prSet custT="1"/>
      <dgm:spPr/>
      <dgm:t>
        <a:bodyPr/>
        <a:lstStyle/>
        <a:p>
          <a:pPr algn="l"/>
          <a:endParaRPr lang="en-GB" sz="3200"/>
        </a:p>
      </dgm:t>
    </dgm:pt>
    <dgm:pt modelId="{C475A7D7-D34B-411E-A872-1FD2DFB85BC6}">
      <dgm:prSet custT="1"/>
      <dgm:spPr/>
      <dgm:t>
        <a:bodyPr/>
        <a:lstStyle/>
        <a:p>
          <a:pPr algn="l"/>
          <a:r>
            <a:rPr lang="en-GB" sz="1200" b="1"/>
            <a:t>Final months of 2022 before Laura's death:</a:t>
          </a:r>
          <a:br>
            <a:rPr lang="en-GB" sz="1200" b="1"/>
          </a:br>
          <a:r>
            <a:rPr lang="en-GB" sz="1050"/>
            <a:t>Agency contact reduced. Laura returned to work in a restricted capacity and declined some offers of support. She also sought information about a new partner through the Domestic Violence Disclosure Scheme. Ongoing concerns remained in relation to mental health, substance use and financial stress.</a:t>
          </a:r>
          <a:endParaRPr lang="en-GB" sz="1200" b="1"/>
        </a:p>
      </dgm:t>
    </dgm:pt>
    <dgm:pt modelId="{E3E8E935-96B2-47B7-874A-93F0CC55C169}" type="parTrans" cxnId="{7AC4052C-7D88-4245-AC73-D841D88AD4FC}">
      <dgm:prSet/>
      <dgm:spPr/>
      <dgm:t>
        <a:bodyPr/>
        <a:lstStyle/>
        <a:p>
          <a:pPr algn="l"/>
          <a:endParaRPr lang="en-GB" sz="3200"/>
        </a:p>
      </dgm:t>
    </dgm:pt>
    <dgm:pt modelId="{7376329F-CFA0-4B8F-B3F6-678663CD7487}" type="sibTrans" cxnId="{7AC4052C-7D88-4245-AC73-D841D88AD4FC}">
      <dgm:prSet custT="1"/>
      <dgm:spPr/>
      <dgm:t>
        <a:bodyPr/>
        <a:lstStyle/>
        <a:p>
          <a:pPr algn="l"/>
          <a:endParaRPr lang="en-GB" sz="3200"/>
        </a:p>
      </dgm:t>
    </dgm:pt>
    <dgm:pt modelId="{29CE6CCF-E956-4EDB-9CBD-E05DDB01288D}">
      <dgm:prSet phldrT="[Text]" custT="1"/>
      <dgm:spPr/>
      <dgm:t>
        <a:bodyPr/>
        <a:lstStyle/>
        <a:p>
          <a:pPr algn="l"/>
          <a:r>
            <a:rPr lang="en-GB" sz="1200" b="1"/>
            <a:t>2018</a:t>
          </a:r>
          <a:br>
            <a:rPr lang="en-GB" sz="1200" b="1"/>
          </a:br>
          <a:r>
            <a:rPr lang="en-GB" sz="1050"/>
            <a:t>Concerns continued in relation to harassment and abuse from a former partner. A physical assault was reported, and children’s services became involved. Support was offered but declined. Wider pressures, including financial and housing-related concerns, were also emerging.</a:t>
          </a:r>
          <a:endParaRPr lang="en-GB" sz="500" b="1"/>
        </a:p>
      </dgm:t>
    </dgm:pt>
    <dgm:pt modelId="{C4589051-ED85-4699-AE5E-9D8942788DBA}" type="parTrans" cxnId="{F999CE59-0C2C-43CF-A941-1EE2F5926733}">
      <dgm:prSet/>
      <dgm:spPr/>
      <dgm:t>
        <a:bodyPr/>
        <a:lstStyle/>
        <a:p>
          <a:pPr algn="l"/>
          <a:endParaRPr lang="en-GB" sz="2000"/>
        </a:p>
      </dgm:t>
    </dgm:pt>
    <dgm:pt modelId="{82FFBE68-52BE-4BDF-966F-D7FE7BFE1852}" type="sibTrans" cxnId="{F999CE59-0C2C-43CF-A941-1EE2F5926733}">
      <dgm:prSet custT="1"/>
      <dgm:spPr/>
      <dgm:t>
        <a:bodyPr/>
        <a:lstStyle/>
        <a:p>
          <a:pPr algn="l"/>
          <a:endParaRPr lang="en-GB" sz="600"/>
        </a:p>
      </dgm:t>
    </dgm:pt>
    <dgm:pt modelId="{BC0B982A-605A-424F-920A-35633E12D2B1}" type="pres">
      <dgm:prSet presAssocID="{CFC61F26-FD5F-41EC-879A-02FC0E2AF844}" presName="Name0" presStyleCnt="0">
        <dgm:presLayoutVars>
          <dgm:dir/>
          <dgm:resizeHandles val="exact"/>
        </dgm:presLayoutVars>
      </dgm:prSet>
      <dgm:spPr/>
    </dgm:pt>
    <dgm:pt modelId="{9B7F566E-A4AE-4EA0-AC83-01C71F9B0346}" type="pres">
      <dgm:prSet presAssocID="{39627A9B-7ED1-419A-8B39-DA30AA55A61D}" presName="node" presStyleLbl="node1" presStyleIdx="0" presStyleCnt="7">
        <dgm:presLayoutVars>
          <dgm:bulletEnabled val="1"/>
        </dgm:presLayoutVars>
      </dgm:prSet>
      <dgm:spPr/>
    </dgm:pt>
    <dgm:pt modelId="{0FC0CEDC-E74D-4461-B757-655E4A6FEA0B}" type="pres">
      <dgm:prSet presAssocID="{A3DAC126-4CC6-4E1F-A854-CCFE86B914B0}" presName="sibTrans" presStyleLbl="sibTrans1D1" presStyleIdx="0" presStyleCnt="6"/>
      <dgm:spPr/>
    </dgm:pt>
    <dgm:pt modelId="{0849C30C-7019-459E-BB95-A053075190B6}" type="pres">
      <dgm:prSet presAssocID="{A3DAC126-4CC6-4E1F-A854-CCFE86B914B0}" presName="connectorText" presStyleLbl="sibTrans1D1" presStyleIdx="0" presStyleCnt="6"/>
      <dgm:spPr/>
    </dgm:pt>
    <dgm:pt modelId="{23DB8E66-71D2-41EA-8DA5-0088864F5636}" type="pres">
      <dgm:prSet presAssocID="{29CE6CCF-E956-4EDB-9CBD-E05DDB01288D}" presName="node" presStyleLbl="node1" presStyleIdx="1" presStyleCnt="7">
        <dgm:presLayoutVars>
          <dgm:bulletEnabled val="1"/>
        </dgm:presLayoutVars>
      </dgm:prSet>
      <dgm:spPr/>
    </dgm:pt>
    <dgm:pt modelId="{023132ED-054A-47A8-A2D7-90A16B081B3F}" type="pres">
      <dgm:prSet presAssocID="{82FFBE68-52BE-4BDF-966F-D7FE7BFE1852}" presName="sibTrans" presStyleLbl="sibTrans1D1" presStyleIdx="1" presStyleCnt="6"/>
      <dgm:spPr/>
    </dgm:pt>
    <dgm:pt modelId="{A9EC91FA-085F-45E2-99E7-1DB0152849A9}" type="pres">
      <dgm:prSet presAssocID="{82FFBE68-52BE-4BDF-966F-D7FE7BFE1852}" presName="connectorText" presStyleLbl="sibTrans1D1" presStyleIdx="1" presStyleCnt="6"/>
      <dgm:spPr/>
    </dgm:pt>
    <dgm:pt modelId="{8A9FF856-05B9-435E-B257-FFAA25BFCB65}" type="pres">
      <dgm:prSet presAssocID="{1FB004F5-4838-4254-A66B-DBF051A05496}" presName="node" presStyleLbl="node1" presStyleIdx="2" presStyleCnt="7">
        <dgm:presLayoutVars>
          <dgm:bulletEnabled val="1"/>
        </dgm:presLayoutVars>
      </dgm:prSet>
      <dgm:spPr/>
    </dgm:pt>
    <dgm:pt modelId="{0B2F0698-ECDA-48B4-874F-FC48C0E15EFB}" type="pres">
      <dgm:prSet presAssocID="{B8BA6A06-9577-48BA-A594-FD4E717F60C7}" presName="sibTrans" presStyleLbl="sibTrans1D1" presStyleIdx="2" presStyleCnt="6"/>
      <dgm:spPr/>
    </dgm:pt>
    <dgm:pt modelId="{9003D6D1-E2FC-4B77-BDC4-422A86D8E086}" type="pres">
      <dgm:prSet presAssocID="{B8BA6A06-9577-48BA-A594-FD4E717F60C7}" presName="connectorText" presStyleLbl="sibTrans1D1" presStyleIdx="2" presStyleCnt="6"/>
      <dgm:spPr/>
    </dgm:pt>
    <dgm:pt modelId="{F3D7D46E-8739-4B01-BD8E-5F38646FCD52}" type="pres">
      <dgm:prSet presAssocID="{8BE0EC0E-CC01-406A-BCF5-63A8620B4A47}" presName="node" presStyleLbl="node1" presStyleIdx="3" presStyleCnt="7">
        <dgm:presLayoutVars>
          <dgm:bulletEnabled val="1"/>
        </dgm:presLayoutVars>
      </dgm:prSet>
      <dgm:spPr/>
    </dgm:pt>
    <dgm:pt modelId="{B0113FEB-0FA6-4ED5-B641-2D2CA3E92919}" type="pres">
      <dgm:prSet presAssocID="{48EB58A9-A2F1-4F4A-9AB2-AEEE9B3C4939}" presName="sibTrans" presStyleLbl="sibTrans1D1" presStyleIdx="3" presStyleCnt="6"/>
      <dgm:spPr/>
    </dgm:pt>
    <dgm:pt modelId="{4E3A9A68-B629-417D-A668-B7A230DB7BAA}" type="pres">
      <dgm:prSet presAssocID="{48EB58A9-A2F1-4F4A-9AB2-AEEE9B3C4939}" presName="connectorText" presStyleLbl="sibTrans1D1" presStyleIdx="3" presStyleCnt="6"/>
      <dgm:spPr/>
    </dgm:pt>
    <dgm:pt modelId="{F67DD146-DB21-4C9F-B723-E5197E850A7E}" type="pres">
      <dgm:prSet presAssocID="{5DCC523D-BFD1-496A-B43B-809EC3C3B7CA}" presName="node" presStyleLbl="node1" presStyleIdx="4" presStyleCnt="7">
        <dgm:presLayoutVars>
          <dgm:bulletEnabled val="1"/>
        </dgm:presLayoutVars>
      </dgm:prSet>
      <dgm:spPr/>
    </dgm:pt>
    <dgm:pt modelId="{D9C8A80B-1385-40EA-A310-A3E5A0B6B081}" type="pres">
      <dgm:prSet presAssocID="{46D910A1-8B8A-4173-A4A6-FDBB5FFA5982}" presName="sibTrans" presStyleLbl="sibTrans1D1" presStyleIdx="4" presStyleCnt="6"/>
      <dgm:spPr/>
    </dgm:pt>
    <dgm:pt modelId="{93E784F0-02C5-44D4-BBF9-85DC8A7D1432}" type="pres">
      <dgm:prSet presAssocID="{46D910A1-8B8A-4173-A4A6-FDBB5FFA5982}" presName="connectorText" presStyleLbl="sibTrans1D1" presStyleIdx="4" presStyleCnt="6"/>
      <dgm:spPr/>
    </dgm:pt>
    <dgm:pt modelId="{208DEB38-4ACC-4D97-9789-241BC978250F}" type="pres">
      <dgm:prSet presAssocID="{B26ACE93-5EC9-4B69-AD8C-AE17A9ADAD29}" presName="node" presStyleLbl="node1" presStyleIdx="5" presStyleCnt="7">
        <dgm:presLayoutVars>
          <dgm:bulletEnabled val="1"/>
        </dgm:presLayoutVars>
      </dgm:prSet>
      <dgm:spPr/>
    </dgm:pt>
    <dgm:pt modelId="{E7983F55-3EC4-4400-80D3-E27D06992079}" type="pres">
      <dgm:prSet presAssocID="{0A520768-61D2-4C72-B9E9-199125955766}" presName="sibTrans" presStyleLbl="sibTrans1D1" presStyleIdx="5" presStyleCnt="6"/>
      <dgm:spPr/>
    </dgm:pt>
    <dgm:pt modelId="{8ED65696-F68D-4A1E-943D-0069DB580E64}" type="pres">
      <dgm:prSet presAssocID="{0A520768-61D2-4C72-B9E9-199125955766}" presName="connectorText" presStyleLbl="sibTrans1D1" presStyleIdx="5" presStyleCnt="6"/>
      <dgm:spPr/>
    </dgm:pt>
    <dgm:pt modelId="{B3EDFBC1-3CBF-42F9-AAD5-2B4CBCB80576}" type="pres">
      <dgm:prSet presAssocID="{C475A7D7-D34B-411E-A872-1FD2DFB85BC6}" presName="node" presStyleLbl="node1" presStyleIdx="6" presStyleCnt="7">
        <dgm:presLayoutVars>
          <dgm:bulletEnabled val="1"/>
        </dgm:presLayoutVars>
      </dgm:prSet>
      <dgm:spPr/>
    </dgm:pt>
  </dgm:ptLst>
  <dgm:cxnLst>
    <dgm:cxn modelId="{0EAEB208-6DAA-4CB7-9995-C897A01C2780}" type="presOf" srcId="{1FB004F5-4838-4254-A66B-DBF051A05496}" destId="{8A9FF856-05B9-435E-B257-FFAA25BFCB65}" srcOrd="0" destOrd="0" presId="urn:microsoft.com/office/officeart/2005/8/layout/bProcess3"/>
    <dgm:cxn modelId="{D8346110-F36A-44D0-9F52-514DE9CA90B0}" srcId="{CFC61F26-FD5F-41EC-879A-02FC0E2AF844}" destId="{39627A9B-7ED1-419A-8B39-DA30AA55A61D}" srcOrd="0" destOrd="0" parTransId="{374296AB-DC3B-4D39-B1B9-F77DB77A8F0F}" sibTransId="{A3DAC126-4CC6-4E1F-A854-CCFE86B914B0}"/>
    <dgm:cxn modelId="{2CC9FF2B-1D0A-4D87-AA90-36E74AD3A81E}" srcId="{CFC61F26-FD5F-41EC-879A-02FC0E2AF844}" destId="{1FB004F5-4838-4254-A66B-DBF051A05496}" srcOrd="2" destOrd="0" parTransId="{EE56C112-EBE4-4A6B-9E86-D2F909C7ADA2}" sibTransId="{B8BA6A06-9577-48BA-A594-FD4E717F60C7}"/>
    <dgm:cxn modelId="{7AC4052C-7D88-4245-AC73-D841D88AD4FC}" srcId="{CFC61F26-FD5F-41EC-879A-02FC0E2AF844}" destId="{C475A7D7-D34B-411E-A872-1FD2DFB85BC6}" srcOrd="6" destOrd="0" parTransId="{E3E8E935-96B2-47B7-874A-93F0CC55C169}" sibTransId="{7376329F-CFA0-4B8F-B3F6-678663CD7487}"/>
    <dgm:cxn modelId="{25E58230-895E-4629-A1F2-17FC5A4B3A05}" type="presOf" srcId="{B8BA6A06-9577-48BA-A594-FD4E717F60C7}" destId="{9003D6D1-E2FC-4B77-BDC4-422A86D8E086}" srcOrd="1" destOrd="0" presId="urn:microsoft.com/office/officeart/2005/8/layout/bProcess3"/>
    <dgm:cxn modelId="{839FEE36-AAC7-43AB-9AB4-4F294C627F59}" type="presOf" srcId="{B8BA6A06-9577-48BA-A594-FD4E717F60C7}" destId="{0B2F0698-ECDA-48B4-874F-FC48C0E15EFB}" srcOrd="0" destOrd="0" presId="urn:microsoft.com/office/officeart/2005/8/layout/bProcess3"/>
    <dgm:cxn modelId="{85730463-C729-446F-80D7-8A15DF3E67BD}" type="presOf" srcId="{A3DAC126-4CC6-4E1F-A854-CCFE86B914B0}" destId="{0FC0CEDC-E74D-4461-B757-655E4A6FEA0B}" srcOrd="0" destOrd="0" presId="urn:microsoft.com/office/officeart/2005/8/layout/bProcess3"/>
    <dgm:cxn modelId="{39D35A6C-4666-4DFA-9551-59137FC00BB9}" srcId="{CFC61F26-FD5F-41EC-879A-02FC0E2AF844}" destId="{5DCC523D-BFD1-496A-B43B-809EC3C3B7CA}" srcOrd="4" destOrd="0" parTransId="{65FAB5FB-88D7-456B-BA5A-FFB360708736}" sibTransId="{46D910A1-8B8A-4173-A4A6-FDBB5FFA5982}"/>
    <dgm:cxn modelId="{19A4F256-4E1C-496D-8B95-C2B9508AC367}" type="presOf" srcId="{5DCC523D-BFD1-496A-B43B-809EC3C3B7CA}" destId="{F67DD146-DB21-4C9F-B723-E5197E850A7E}" srcOrd="0" destOrd="0" presId="urn:microsoft.com/office/officeart/2005/8/layout/bProcess3"/>
    <dgm:cxn modelId="{3B072059-E256-4F42-BABF-02976F19AE70}" type="presOf" srcId="{0A520768-61D2-4C72-B9E9-199125955766}" destId="{8ED65696-F68D-4A1E-943D-0069DB580E64}" srcOrd="1" destOrd="0" presId="urn:microsoft.com/office/officeart/2005/8/layout/bProcess3"/>
    <dgm:cxn modelId="{F999CE59-0C2C-43CF-A941-1EE2F5926733}" srcId="{CFC61F26-FD5F-41EC-879A-02FC0E2AF844}" destId="{29CE6CCF-E956-4EDB-9CBD-E05DDB01288D}" srcOrd="1" destOrd="0" parTransId="{C4589051-ED85-4699-AE5E-9D8942788DBA}" sibTransId="{82FFBE68-52BE-4BDF-966F-D7FE7BFE1852}"/>
    <dgm:cxn modelId="{91769E7D-F69C-4606-8ADC-D3F2EB01BCC8}" type="presOf" srcId="{46D910A1-8B8A-4173-A4A6-FDBB5FFA5982}" destId="{D9C8A80B-1385-40EA-A310-A3E5A0B6B081}" srcOrd="0" destOrd="0" presId="urn:microsoft.com/office/officeart/2005/8/layout/bProcess3"/>
    <dgm:cxn modelId="{B86EB087-2240-475F-82F7-B342FDA0E970}" type="presOf" srcId="{0A520768-61D2-4C72-B9E9-199125955766}" destId="{E7983F55-3EC4-4400-80D3-E27D06992079}" srcOrd="0" destOrd="0" presId="urn:microsoft.com/office/officeart/2005/8/layout/bProcess3"/>
    <dgm:cxn modelId="{7BB0328F-3E68-43ED-9550-D94A230074E7}" type="presOf" srcId="{82FFBE68-52BE-4BDF-966F-D7FE7BFE1852}" destId="{023132ED-054A-47A8-A2D7-90A16B081B3F}" srcOrd="0" destOrd="0" presId="urn:microsoft.com/office/officeart/2005/8/layout/bProcess3"/>
    <dgm:cxn modelId="{FB75A090-D426-4607-9133-D5B32659313A}" type="presOf" srcId="{48EB58A9-A2F1-4F4A-9AB2-AEEE9B3C4939}" destId="{B0113FEB-0FA6-4ED5-B641-2D2CA3E92919}" srcOrd="0" destOrd="0" presId="urn:microsoft.com/office/officeart/2005/8/layout/bProcess3"/>
    <dgm:cxn modelId="{062C0C94-BED9-439C-B349-E1211BDBCECA}" type="presOf" srcId="{39627A9B-7ED1-419A-8B39-DA30AA55A61D}" destId="{9B7F566E-A4AE-4EA0-AC83-01C71F9B0346}" srcOrd="0" destOrd="0" presId="urn:microsoft.com/office/officeart/2005/8/layout/bProcess3"/>
    <dgm:cxn modelId="{BF717FA4-F11A-4F18-98F9-17166D5AA092}" type="presOf" srcId="{C475A7D7-D34B-411E-A872-1FD2DFB85BC6}" destId="{B3EDFBC1-3CBF-42F9-AAD5-2B4CBCB80576}" srcOrd="0" destOrd="0" presId="urn:microsoft.com/office/officeart/2005/8/layout/bProcess3"/>
    <dgm:cxn modelId="{C3D83DB1-48D3-4DF6-9577-80D2F74DCF3E}" type="presOf" srcId="{46D910A1-8B8A-4173-A4A6-FDBB5FFA5982}" destId="{93E784F0-02C5-44D4-BBF9-85DC8A7D1432}" srcOrd="1" destOrd="0" presId="urn:microsoft.com/office/officeart/2005/8/layout/bProcess3"/>
    <dgm:cxn modelId="{E8F282B1-ACA3-4F9C-9B3D-C7464DB50B9C}" type="presOf" srcId="{8BE0EC0E-CC01-406A-BCF5-63A8620B4A47}" destId="{F3D7D46E-8739-4B01-BD8E-5F38646FCD52}" srcOrd="0" destOrd="0" presId="urn:microsoft.com/office/officeart/2005/8/layout/bProcess3"/>
    <dgm:cxn modelId="{2BD50ABF-7917-43E6-B40A-DB7A466B9265}" type="presOf" srcId="{82FFBE68-52BE-4BDF-966F-D7FE7BFE1852}" destId="{A9EC91FA-085F-45E2-99E7-1DB0152849A9}" srcOrd="1" destOrd="0" presId="urn:microsoft.com/office/officeart/2005/8/layout/bProcess3"/>
    <dgm:cxn modelId="{22D5ACC4-9128-47ED-9B02-B7F8951307C2}" type="presOf" srcId="{CFC61F26-FD5F-41EC-879A-02FC0E2AF844}" destId="{BC0B982A-605A-424F-920A-35633E12D2B1}" srcOrd="0" destOrd="0" presId="urn:microsoft.com/office/officeart/2005/8/layout/bProcess3"/>
    <dgm:cxn modelId="{D9693AD4-FC90-4808-8C3D-6D3C57BBD9A8}" type="presOf" srcId="{29CE6CCF-E956-4EDB-9CBD-E05DDB01288D}" destId="{23DB8E66-71D2-41EA-8DA5-0088864F5636}" srcOrd="0" destOrd="0" presId="urn:microsoft.com/office/officeart/2005/8/layout/bProcess3"/>
    <dgm:cxn modelId="{397D94D6-CF20-47F3-B09A-E3976F95AE56}" srcId="{CFC61F26-FD5F-41EC-879A-02FC0E2AF844}" destId="{B26ACE93-5EC9-4B69-AD8C-AE17A9ADAD29}" srcOrd="5" destOrd="0" parTransId="{7EF4E175-7B98-4835-B101-A500724CE3E7}" sibTransId="{0A520768-61D2-4C72-B9E9-199125955766}"/>
    <dgm:cxn modelId="{6D059FDA-677B-4E71-B099-2C71F8ECB25B}" type="presOf" srcId="{B26ACE93-5EC9-4B69-AD8C-AE17A9ADAD29}" destId="{208DEB38-4ACC-4D97-9789-241BC978250F}" srcOrd="0" destOrd="0" presId="urn:microsoft.com/office/officeart/2005/8/layout/bProcess3"/>
    <dgm:cxn modelId="{5A414DED-62DF-4CC9-B475-E4E023E7EF3C}" type="presOf" srcId="{A3DAC126-4CC6-4E1F-A854-CCFE86B914B0}" destId="{0849C30C-7019-459E-BB95-A053075190B6}" srcOrd="1" destOrd="0" presId="urn:microsoft.com/office/officeart/2005/8/layout/bProcess3"/>
    <dgm:cxn modelId="{4CDE54ED-1985-4C2D-BFC1-EAD8A0F5456F}" srcId="{CFC61F26-FD5F-41EC-879A-02FC0E2AF844}" destId="{8BE0EC0E-CC01-406A-BCF5-63A8620B4A47}" srcOrd="3" destOrd="0" parTransId="{867F0B58-D30C-4D6F-8685-CD5848EE577E}" sibTransId="{48EB58A9-A2F1-4F4A-9AB2-AEEE9B3C4939}"/>
    <dgm:cxn modelId="{5150CAF3-C42B-46AD-8E5C-F102595C5107}" type="presOf" srcId="{48EB58A9-A2F1-4F4A-9AB2-AEEE9B3C4939}" destId="{4E3A9A68-B629-417D-A668-B7A230DB7BAA}" srcOrd="1" destOrd="0" presId="urn:microsoft.com/office/officeart/2005/8/layout/bProcess3"/>
    <dgm:cxn modelId="{007789F5-196A-4FF5-AAA9-57C1B236A11A}" type="presParOf" srcId="{BC0B982A-605A-424F-920A-35633E12D2B1}" destId="{9B7F566E-A4AE-4EA0-AC83-01C71F9B0346}" srcOrd="0" destOrd="0" presId="urn:microsoft.com/office/officeart/2005/8/layout/bProcess3"/>
    <dgm:cxn modelId="{F2327789-ECAE-47AC-8D90-B32DD0156779}" type="presParOf" srcId="{BC0B982A-605A-424F-920A-35633E12D2B1}" destId="{0FC0CEDC-E74D-4461-B757-655E4A6FEA0B}" srcOrd="1" destOrd="0" presId="urn:microsoft.com/office/officeart/2005/8/layout/bProcess3"/>
    <dgm:cxn modelId="{2A879061-54F9-4E43-A1B8-57961684032E}" type="presParOf" srcId="{0FC0CEDC-E74D-4461-B757-655E4A6FEA0B}" destId="{0849C30C-7019-459E-BB95-A053075190B6}" srcOrd="0" destOrd="0" presId="urn:microsoft.com/office/officeart/2005/8/layout/bProcess3"/>
    <dgm:cxn modelId="{FD9EDC36-739B-4F6F-8408-2926CDBCA94D}" type="presParOf" srcId="{BC0B982A-605A-424F-920A-35633E12D2B1}" destId="{23DB8E66-71D2-41EA-8DA5-0088864F5636}" srcOrd="2" destOrd="0" presId="urn:microsoft.com/office/officeart/2005/8/layout/bProcess3"/>
    <dgm:cxn modelId="{BC3F2586-8A20-4F67-A4E0-BF764BA9E6A4}" type="presParOf" srcId="{BC0B982A-605A-424F-920A-35633E12D2B1}" destId="{023132ED-054A-47A8-A2D7-90A16B081B3F}" srcOrd="3" destOrd="0" presId="urn:microsoft.com/office/officeart/2005/8/layout/bProcess3"/>
    <dgm:cxn modelId="{2F1B46F2-411E-4C59-B63E-0A728920976C}" type="presParOf" srcId="{023132ED-054A-47A8-A2D7-90A16B081B3F}" destId="{A9EC91FA-085F-45E2-99E7-1DB0152849A9}" srcOrd="0" destOrd="0" presId="urn:microsoft.com/office/officeart/2005/8/layout/bProcess3"/>
    <dgm:cxn modelId="{721E0CEF-FE87-4F15-A2FC-1712C714DBE2}" type="presParOf" srcId="{BC0B982A-605A-424F-920A-35633E12D2B1}" destId="{8A9FF856-05B9-435E-B257-FFAA25BFCB65}" srcOrd="4" destOrd="0" presId="urn:microsoft.com/office/officeart/2005/8/layout/bProcess3"/>
    <dgm:cxn modelId="{49B13447-FA8C-4D04-A57B-7E1BB3AD1C84}" type="presParOf" srcId="{BC0B982A-605A-424F-920A-35633E12D2B1}" destId="{0B2F0698-ECDA-48B4-874F-FC48C0E15EFB}" srcOrd="5" destOrd="0" presId="urn:microsoft.com/office/officeart/2005/8/layout/bProcess3"/>
    <dgm:cxn modelId="{346580FD-025A-42DF-A6F8-15B8E14C3C85}" type="presParOf" srcId="{0B2F0698-ECDA-48B4-874F-FC48C0E15EFB}" destId="{9003D6D1-E2FC-4B77-BDC4-422A86D8E086}" srcOrd="0" destOrd="0" presId="urn:microsoft.com/office/officeart/2005/8/layout/bProcess3"/>
    <dgm:cxn modelId="{0C39E60F-D688-471B-A129-6BD45860938A}" type="presParOf" srcId="{BC0B982A-605A-424F-920A-35633E12D2B1}" destId="{F3D7D46E-8739-4B01-BD8E-5F38646FCD52}" srcOrd="6" destOrd="0" presId="urn:microsoft.com/office/officeart/2005/8/layout/bProcess3"/>
    <dgm:cxn modelId="{ED4CB022-C390-49DC-9EF5-C026D9FE4571}" type="presParOf" srcId="{BC0B982A-605A-424F-920A-35633E12D2B1}" destId="{B0113FEB-0FA6-4ED5-B641-2D2CA3E92919}" srcOrd="7" destOrd="0" presId="urn:microsoft.com/office/officeart/2005/8/layout/bProcess3"/>
    <dgm:cxn modelId="{DC90DA31-CF26-49FB-9197-F49A9E46D3BC}" type="presParOf" srcId="{B0113FEB-0FA6-4ED5-B641-2D2CA3E92919}" destId="{4E3A9A68-B629-417D-A668-B7A230DB7BAA}" srcOrd="0" destOrd="0" presId="urn:microsoft.com/office/officeart/2005/8/layout/bProcess3"/>
    <dgm:cxn modelId="{831248FF-6EC6-4A84-ACB0-11358DABE1AD}" type="presParOf" srcId="{BC0B982A-605A-424F-920A-35633E12D2B1}" destId="{F67DD146-DB21-4C9F-B723-E5197E850A7E}" srcOrd="8" destOrd="0" presId="urn:microsoft.com/office/officeart/2005/8/layout/bProcess3"/>
    <dgm:cxn modelId="{E74EA2FA-79BF-424B-AF3C-FB840BAA3DB8}" type="presParOf" srcId="{BC0B982A-605A-424F-920A-35633E12D2B1}" destId="{D9C8A80B-1385-40EA-A310-A3E5A0B6B081}" srcOrd="9" destOrd="0" presId="urn:microsoft.com/office/officeart/2005/8/layout/bProcess3"/>
    <dgm:cxn modelId="{184696B3-3239-4CC0-807A-AECC6B68EA4D}" type="presParOf" srcId="{D9C8A80B-1385-40EA-A310-A3E5A0B6B081}" destId="{93E784F0-02C5-44D4-BBF9-85DC8A7D1432}" srcOrd="0" destOrd="0" presId="urn:microsoft.com/office/officeart/2005/8/layout/bProcess3"/>
    <dgm:cxn modelId="{32066801-6283-4924-92C5-C00F4654E665}" type="presParOf" srcId="{BC0B982A-605A-424F-920A-35633E12D2B1}" destId="{208DEB38-4ACC-4D97-9789-241BC978250F}" srcOrd="10" destOrd="0" presId="urn:microsoft.com/office/officeart/2005/8/layout/bProcess3"/>
    <dgm:cxn modelId="{FD29C4E2-DA21-467E-ADCF-EB9F8DEEC8FF}" type="presParOf" srcId="{BC0B982A-605A-424F-920A-35633E12D2B1}" destId="{E7983F55-3EC4-4400-80D3-E27D06992079}" srcOrd="11" destOrd="0" presId="urn:microsoft.com/office/officeart/2005/8/layout/bProcess3"/>
    <dgm:cxn modelId="{8DB2EE0C-171E-446B-A8C2-9F7BECEB824C}" type="presParOf" srcId="{E7983F55-3EC4-4400-80D3-E27D06992079}" destId="{8ED65696-F68D-4A1E-943D-0069DB580E64}" srcOrd="0" destOrd="0" presId="urn:microsoft.com/office/officeart/2005/8/layout/bProcess3"/>
    <dgm:cxn modelId="{1010D20D-A19F-43DF-8C7E-3CF7A5812322}" type="presParOf" srcId="{BC0B982A-605A-424F-920A-35633E12D2B1}" destId="{B3EDFBC1-3CBF-42F9-AAD5-2B4CBCB80576}" srcOrd="12" destOrd="0" presId="urn:microsoft.com/office/officeart/2005/8/layout/b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BBD6078-0EA1-4DAD-8F74-939ECCD356F8}" type="doc">
      <dgm:prSet loTypeId="urn:microsoft.com/office/officeart/2005/8/layout/vList2" loCatId="list" qsTypeId="urn:microsoft.com/office/officeart/2005/8/quickstyle/simple1#2" qsCatId="simple" csTypeId="urn:microsoft.com/office/officeart/2005/8/colors/accent1_2#1" csCatId="accent1" phldr="1"/>
      <dgm:spPr/>
      <dgm:t>
        <a:bodyPr/>
        <a:lstStyle/>
        <a:p>
          <a:endParaRPr lang="en-GB"/>
        </a:p>
      </dgm:t>
    </dgm:pt>
    <dgm:pt modelId="{562AB49D-20ED-4FAA-8B15-86034F4E1038}">
      <dgm:prSet phldrT="[Text]" custT="1"/>
      <dgm:spPr>
        <a:xfrm>
          <a:off x="309698" y="79712"/>
          <a:ext cx="4335779" cy="265680"/>
        </a:xfrm>
      </dgm:spPr>
      <dgm:t>
        <a:bodyPr/>
        <a:lstStyle/>
        <a:p>
          <a:pPr>
            <a:buNone/>
          </a:pPr>
          <a:r>
            <a:rPr lang="en-GB" sz="1200">
              <a:latin typeface="Aptos" panose="02110004020202020204"/>
              <a:ea typeface="+mn-ea"/>
              <a:cs typeface="+mn-cs"/>
            </a:rPr>
            <a:t>Domestic Abuse, Stalking and Honour-Based Violence Risk Identification, Assessment and Management Model (DASH) / Domestic Abuse Risk Assessment risk assessments (DARA)</a:t>
          </a:r>
        </a:p>
      </dgm:t>
    </dgm:pt>
    <dgm:pt modelId="{80581002-96E2-4718-B091-4AEDE3822CC0}" type="parTrans" cxnId="{86468FDC-FA94-49CD-AF3F-0881495B19D2}">
      <dgm:prSet/>
      <dgm:spPr/>
      <dgm:t>
        <a:bodyPr/>
        <a:lstStyle/>
        <a:p>
          <a:endParaRPr lang="en-GB" sz="2800"/>
        </a:p>
      </dgm:t>
    </dgm:pt>
    <dgm:pt modelId="{CE47FD74-CB67-4C1D-9E8C-24F843F28109}" type="sibTrans" cxnId="{86468FDC-FA94-49CD-AF3F-0881495B19D2}">
      <dgm:prSet/>
      <dgm:spPr/>
      <dgm:t>
        <a:bodyPr/>
        <a:lstStyle/>
        <a:p>
          <a:endParaRPr lang="en-GB" sz="2800"/>
        </a:p>
      </dgm:t>
    </dgm:pt>
    <dgm:pt modelId="{B6508507-225F-444F-9CA8-BE5C830227C5}">
      <dgm:prSet phldrT="[Text]" custT="1"/>
      <dgm:spPr>
        <a:xfrm>
          <a:off x="309698" y="79712"/>
          <a:ext cx="4335779" cy="265680"/>
        </a:xfrm>
      </dgm:spPr>
      <dgm:t>
        <a:bodyPr/>
        <a:lstStyle/>
        <a:p>
          <a:pPr algn="l">
            <a:buNone/>
          </a:pPr>
          <a:r>
            <a:rPr lang="en-GB" sz="1150">
              <a:latin typeface="Aptos" panose="02110004020202020204"/>
              <a:ea typeface="+mn-ea"/>
              <a:cs typeface="+mn-cs"/>
            </a:rPr>
            <a:t>Although Laura was involved in twenty-two reported incidents or disclosures of domestic abuse, none were assessed as high risk. However, three of the incidents may have justified a high-risk DASH. This meant that, despite the impact domestic abuse had on Laura’s emotional health and the wellbeing of her children, she was never referred to MARAC on the grounds of visible high risk. Domestic abuse incidents need to be considered not only as single events, but also in terms of their cumulative impact on the family when assessing risk.</a:t>
          </a:r>
        </a:p>
      </dgm:t>
    </dgm:pt>
    <dgm:pt modelId="{2A43E851-7FD1-4E31-B916-F43BD2DFE356}" type="parTrans" cxnId="{A555C3F7-70B7-44D1-B8A7-7D3754D35B7A}">
      <dgm:prSet/>
      <dgm:spPr/>
      <dgm:t>
        <a:bodyPr/>
        <a:lstStyle/>
        <a:p>
          <a:endParaRPr lang="en-GB"/>
        </a:p>
      </dgm:t>
    </dgm:pt>
    <dgm:pt modelId="{B63F217F-3A74-4FF8-800C-D6EB363D5967}" type="sibTrans" cxnId="{A555C3F7-70B7-44D1-B8A7-7D3754D35B7A}">
      <dgm:prSet/>
      <dgm:spPr/>
      <dgm:t>
        <a:bodyPr/>
        <a:lstStyle/>
        <a:p>
          <a:endParaRPr lang="en-GB"/>
        </a:p>
      </dgm:t>
    </dgm:pt>
    <dgm:pt modelId="{949B38E9-8193-4044-A392-F8FF01F9282D}">
      <dgm:prSet phldrT="[Text]" custT="1"/>
      <dgm:spPr>
        <a:xfrm>
          <a:off x="309698" y="79712"/>
          <a:ext cx="4335779" cy="265680"/>
        </a:xfrm>
      </dgm:spPr>
      <dgm:t>
        <a:bodyPr/>
        <a:lstStyle/>
        <a:p>
          <a:pPr>
            <a:buNone/>
          </a:pPr>
          <a:r>
            <a:rPr lang="en-GB" sz="1200">
              <a:latin typeface="Aptos" panose="02110004020202020204"/>
              <a:ea typeface="+mn-ea"/>
              <a:cs typeface="+mn-cs"/>
            </a:rPr>
            <a:t>Repeat incident referral to Multi-Agency Risk Assessment Conference (MARAC)</a:t>
          </a:r>
        </a:p>
      </dgm:t>
    </dgm:pt>
    <dgm:pt modelId="{088859CE-1C81-4646-A3E7-9B6067CFC872}" type="parTrans" cxnId="{9E3AC4BE-013F-4A8A-8CE2-B610EE03233C}">
      <dgm:prSet/>
      <dgm:spPr/>
      <dgm:t>
        <a:bodyPr/>
        <a:lstStyle/>
        <a:p>
          <a:endParaRPr lang="en-GB"/>
        </a:p>
      </dgm:t>
    </dgm:pt>
    <dgm:pt modelId="{3AA41367-F8F8-42D8-8370-0A2368766051}" type="sibTrans" cxnId="{9E3AC4BE-013F-4A8A-8CE2-B610EE03233C}">
      <dgm:prSet/>
      <dgm:spPr/>
      <dgm:t>
        <a:bodyPr/>
        <a:lstStyle/>
        <a:p>
          <a:endParaRPr lang="en-GB"/>
        </a:p>
      </dgm:t>
    </dgm:pt>
    <dgm:pt modelId="{1A9BDB3E-77C0-4EA6-8F59-B79B06EBFB5F}">
      <dgm:prSet phldrT="[Text]" custT="1"/>
      <dgm:spPr>
        <a:xfrm>
          <a:off x="309698" y="79712"/>
          <a:ext cx="4335779" cy="265680"/>
        </a:xfrm>
      </dgm:spPr>
      <dgm:t>
        <a:bodyPr/>
        <a:lstStyle/>
        <a:p>
          <a:pPr>
            <a:buNone/>
          </a:pPr>
          <a:r>
            <a:rPr lang="en-GB" sz="1150">
              <a:latin typeface="Aptos" panose="02110004020202020204"/>
              <a:ea typeface="+mn-ea"/>
              <a:cs typeface="+mn-cs"/>
            </a:rPr>
            <a:t>During this period, opportunities were missed to better understand the long-term impact on Laura and her children. Laura could, and probably should, have been referred to a MARAC on the grounds of repeat incidents. When completing a DARAH or DASH professionals should exercise professional judgement about cumulative impact.</a:t>
          </a:r>
        </a:p>
      </dgm:t>
    </dgm:pt>
    <dgm:pt modelId="{ACEB1B27-BA88-49A2-BE68-0B6623F0704B}" type="parTrans" cxnId="{ED180E4B-0826-4D64-9A64-9B40E3511771}">
      <dgm:prSet/>
      <dgm:spPr/>
      <dgm:t>
        <a:bodyPr/>
        <a:lstStyle/>
        <a:p>
          <a:endParaRPr lang="en-GB"/>
        </a:p>
      </dgm:t>
    </dgm:pt>
    <dgm:pt modelId="{3E1DBF77-6CFC-4A36-A038-FBCCECC93102}" type="sibTrans" cxnId="{ED180E4B-0826-4D64-9A64-9B40E3511771}">
      <dgm:prSet/>
      <dgm:spPr/>
      <dgm:t>
        <a:bodyPr/>
        <a:lstStyle/>
        <a:p>
          <a:endParaRPr lang="en-GB"/>
        </a:p>
      </dgm:t>
    </dgm:pt>
    <dgm:pt modelId="{7BA22181-D262-4FFA-A284-22616EF18430}">
      <dgm:prSet phldrT="[Text]" custT="1"/>
      <dgm:spPr>
        <a:xfrm>
          <a:off x="309698" y="79712"/>
          <a:ext cx="4335779" cy="265680"/>
        </a:xfrm>
      </dgm:spPr>
      <dgm:t>
        <a:bodyPr/>
        <a:lstStyle/>
        <a:p>
          <a:pPr>
            <a:buNone/>
          </a:pPr>
          <a:r>
            <a:rPr lang="en-GB" sz="1200">
              <a:latin typeface="Aptos" panose="02110004020202020204"/>
              <a:ea typeface="+mn-ea"/>
              <a:cs typeface="+mn-cs"/>
            </a:rPr>
            <a:t>Clare’s Law: Domestic Violence Disclosure Scheme</a:t>
          </a:r>
        </a:p>
      </dgm:t>
    </dgm:pt>
    <dgm:pt modelId="{64800A28-2958-4D3E-8694-09A0674DAB95}" type="parTrans" cxnId="{04D06620-1C8B-4F39-AEDA-E21D561D6705}">
      <dgm:prSet/>
      <dgm:spPr/>
      <dgm:t>
        <a:bodyPr/>
        <a:lstStyle/>
        <a:p>
          <a:endParaRPr lang="en-GB"/>
        </a:p>
      </dgm:t>
    </dgm:pt>
    <dgm:pt modelId="{F1212363-50DB-4B16-A4DB-E826A73A01AF}" type="sibTrans" cxnId="{04D06620-1C8B-4F39-AEDA-E21D561D6705}">
      <dgm:prSet/>
      <dgm:spPr/>
      <dgm:t>
        <a:bodyPr/>
        <a:lstStyle/>
        <a:p>
          <a:endParaRPr lang="en-GB"/>
        </a:p>
      </dgm:t>
    </dgm:pt>
    <dgm:pt modelId="{20796594-2143-41FE-B7EB-859EDB003BD4}">
      <dgm:prSet phldrT="[Text]" custT="1"/>
      <dgm:spPr>
        <a:xfrm>
          <a:off x="309698" y="79712"/>
          <a:ext cx="4335779" cy="265680"/>
        </a:xfrm>
      </dgm:spPr>
      <dgm:t>
        <a:bodyPr/>
        <a:lstStyle/>
        <a:p>
          <a:pPr>
            <a:buNone/>
          </a:pPr>
          <a:r>
            <a:rPr lang="en-GB" sz="1150">
              <a:latin typeface="Aptos" panose="02110004020202020204"/>
              <a:ea typeface="+mn-ea"/>
              <a:cs typeface="+mn-cs"/>
            </a:rPr>
            <a:t>Although an application under Clare’s Law, also known as the Domestic Violence Disclosure Scheme (DVDS), was made shortly before Laura’s death, and the police response was assessed as appropriate with no disclosable information identified, this case highlights the limitations of the scheme. It also reinforces the importance of practitioner awareness in supporting individuals to understand risk beyond disclosed history</a:t>
          </a:r>
        </a:p>
      </dgm:t>
    </dgm:pt>
    <dgm:pt modelId="{BBF8258B-C25C-4595-BE95-B718D8F9E7AA}" type="parTrans" cxnId="{30B2EEDB-012A-408B-9203-E10BCD126A22}">
      <dgm:prSet/>
      <dgm:spPr/>
      <dgm:t>
        <a:bodyPr/>
        <a:lstStyle/>
        <a:p>
          <a:endParaRPr lang="en-GB"/>
        </a:p>
      </dgm:t>
    </dgm:pt>
    <dgm:pt modelId="{85502930-471B-45A8-8E99-5C4FE4EE589A}" type="sibTrans" cxnId="{30B2EEDB-012A-408B-9203-E10BCD126A22}">
      <dgm:prSet/>
      <dgm:spPr/>
      <dgm:t>
        <a:bodyPr/>
        <a:lstStyle/>
        <a:p>
          <a:endParaRPr lang="en-GB"/>
        </a:p>
      </dgm:t>
    </dgm:pt>
    <dgm:pt modelId="{17027452-EA6B-4C75-9129-62616ACCF5BF}">
      <dgm:prSet phldrT="[Text]" custT="1"/>
      <dgm:spPr>
        <a:xfrm>
          <a:off x="309698" y="79712"/>
          <a:ext cx="4335779" cy="265680"/>
        </a:xfrm>
      </dgm:spPr>
      <dgm:t>
        <a:bodyPr/>
        <a:lstStyle/>
        <a:p>
          <a:pPr>
            <a:buNone/>
          </a:pPr>
          <a:r>
            <a:rPr lang="en-GB" sz="1200">
              <a:latin typeface="Aptos" panose="02110004020202020204"/>
              <a:ea typeface="+mn-ea"/>
              <a:cs typeface="+mn-cs"/>
            </a:rPr>
            <a:t>Domestic Abuse Triage</a:t>
          </a:r>
        </a:p>
      </dgm:t>
    </dgm:pt>
    <dgm:pt modelId="{379BC0D5-AF1B-4D24-B65C-FDA8F9A4D993}" type="parTrans" cxnId="{70311300-95A6-4A78-96C0-CB295D23652A}">
      <dgm:prSet/>
      <dgm:spPr/>
      <dgm:t>
        <a:bodyPr/>
        <a:lstStyle/>
        <a:p>
          <a:endParaRPr lang="en-GB"/>
        </a:p>
      </dgm:t>
    </dgm:pt>
    <dgm:pt modelId="{E6E54026-3B57-4463-9350-ABDB64B0CE82}" type="sibTrans" cxnId="{70311300-95A6-4A78-96C0-CB295D23652A}">
      <dgm:prSet/>
      <dgm:spPr/>
      <dgm:t>
        <a:bodyPr/>
        <a:lstStyle/>
        <a:p>
          <a:endParaRPr lang="en-GB"/>
        </a:p>
      </dgm:t>
    </dgm:pt>
    <dgm:pt modelId="{E60DA21C-5FB2-45E4-B219-513DC30A84E5}">
      <dgm:prSet phldrT="[Text]" custT="1"/>
      <dgm:spPr>
        <a:xfrm>
          <a:off x="309698" y="79712"/>
          <a:ext cx="4335779" cy="265680"/>
        </a:xfrm>
      </dgm:spPr>
      <dgm:t>
        <a:bodyPr/>
        <a:lstStyle/>
        <a:p>
          <a:pPr>
            <a:buNone/>
          </a:pPr>
          <a:r>
            <a:rPr lang="en-GB" sz="1150">
              <a:latin typeface="Aptos" panose="02110004020202020204"/>
              <a:ea typeface="+mn-ea"/>
              <a:cs typeface="+mn-cs"/>
            </a:rPr>
            <a:t>The majority of the twenty-two domestic abuse incidents or disclosures were considered at the Domestic Abuse Triage meeting. However, the focus was predominantly on safeguarding children affected by domestic abuse. Greater emphasis is required to ensure that the needs and risks of adults are also considered within triage, with appropriate assessment and onward referrals in place for both adults and children.</a:t>
          </a:r>
        </a:p>
      </dgm:t>
    </dgm:pt>
    <dgm:pt modelId="{5B9602C0-C8BE-4267-B3B6-5EE049A60908}" type="parTrans" cxnId="{95664CCB-8BAB-4449-9600-7E2A695AFD02}">
      <dgm:prSet/>
      <dgm:spPr/>
      <dgm:t>
        <a:bodyPr/>
        <a:lstStyle/>
        <a:p>
          <a:endParaRPr lang="en-GB"/>
        </a:p>
      </dgm:t>
    </dgm:pt>
    <dgm:pt modelId="{7E14BBFC-20E3-473A-8CB7-6FBA8E80559B}" type="sibTrans" cxnId="{95664CCB-8BAB-4449-9600-7E2A695AFD02}">
      <dgm:prSet/>
      <dgm:spPr/>
      <dgm:t>
        <a:bodyPr/>
        <a:lstStyle/>
        <a:p>
          <a:endParaRPr lang="en-GB"/>
        </a:p>
      </dgm:t>
    </dgm:pt>
    <dgm:pt modelId="{31A48229-79BE-4466-99BF-56C2CC338BFF}">
      <dgm:prSet phldrT="[Text]" custT="1"/>
      <dgm:spPr>
        <a:xfrm>
          <a:off x="309698" y="79712"/>
          <a:ext cx="4335779" cy="265680"/>
        </a:xfrm>
      </dgm:spPr>
      <dgm:t>
        <a:bodyPr/>
        <a:lstStyle/>
        <a:p>
          <a:pPr>
            <a:buNone/>
          </a:pPr>
          <a:r>
            <a:rPr lang="en-GB" sz="1200">
              <a:latin typeface="Aptos" panose="02110004020202020204"/>
              <a:ea typeface="+mn-ea"/>
              <a:cs typeface="+mn-cs"/>
            </a:rPr>
            <a:t>Adult safeguarding</a:t>
          </a:r>
        </a:p>
      </dgm:t>
    </dgm:pt>
    <dgm:pt modelId="{2C7D417B-1BE3-42B5-BFB0-28D1D89CBC3A}" type="parTrans" cxnId="{27FB1ED6-6BD4-403F-9081-F31DC84C15D9}">
      <dgm:prSet/>
      <dgm:spPr/>
      <dgm:t>
        <a:bodyPr/>
        <a:lstStyle/>
        <a:p>
          <a:endParaRPr lang="en-GB"/>
        </a:p>
      </dgm:t>
    </dgm:pt>
    <dgm:pt modelId="{6B5D65AD-AD9E-422C-B77D-84648AE9FFC7}" type="sibTrans" cxnId="{27FB1ED6-6BD4-403F-9081-F31DC84C15D9}">
      <dgm:prSet/>
      <dgm:spPr/>
      <dgm:t>
        <a:bodyPr/>
        <a:lstStyle/>
        <a:p>
          <a:endParaRPr lang="en-GB"/>
        </a:p>
      </dgm:t>
    </dgm:pt>
    <dgm:pt modelId="{21E8DA4C-69B7-49F8-A7FC-0120F8E3F280}">
      <dgm:prSet phldrT="[Text]" custT="1"/>
      <dgm:spPr>
        <a:xfrm>
          <a:off x="309698" y="79712"/>
          <a:ext cx="4335779" cy="265680"/>
        </a:xfrm>
      </dgm:spPr>
      <dgm:t>
        <a:bodyPr/>
        <a:lstStyle/>
        <a:p>
          <a:pPr>
            <a:buNone/>
          </a:pPr>
          <a:r>
            <a:rPr lang="en-GB" sz="1150">
              <a:latin typeface="Aptos" panose="02110004020202020204"/>
              <a:ea typeface="+mn-ea"/>
              <a:cs typeface="+mn-cs"/>
            </a:rPr>
            <a:t>At no stage did any professional or agency consider referring Laura to Adult Social Care for support and a possible Care Act assessment, or making an adult safeguarding referral. The Review advised that it would have been in the public interest for a referral to have been made and for Adult Social Care to have conducted an enquiry, given Laura’s circumstances.</a:t>
          </a:r>
        </a:p>
      </dgm:t>
    </dgm:pt>
    <dgm:pt modelId="{517B557E-D3F5-4A38-BD8E-110DAEB0D8AE}" type="parTrans" cxnId="{C7635F8E-95E1-4EAC-95B0-0ACB554C9565}">
      <dgm:prSet/>
      <dgm:spPr/>
      <dgm:t>
        <a:bodyPr/>
        <a:lstStyle/>
        <a:p>
          <a:endParaRPr lang="en-GB"/>
        </a:p>
      </dgm:t>
    </dgm:pt>
    <dgm:pt modelId="{FEA1C4E5-0A17-48DC-B040-6244DA1BE36D}" type="sibTrans" cxnId="{C7635F8E-95E1-4EAC-95B0-0ACB554C9565}">
      <dgm:prSet/>
      <dgm:spPr/>
      <dgm:t>
        <a:bodyPr/>
        <a:lstStyle/>
        <a:p>
          <a:endParaRPr lang="en-GB"/>
        </a:p>
      </dgm:t>
    </dgm:pt>
    <dgm:pt modelId="{674AE857-3277-4FC7-B373-426442C233D0}">
      <dgm:prSet phldrT="[Text]" custT="1"/>
      <dgm:spPr>
        <a:xfrm>
          <a:off x="309698" y="79712"/>
          <a:ext cx="4335779" cy="265680"/>
        </a:xfrm>
      </dgm:spPr>
      <dgm:t>
        <a:bodyPr/>
        <a:lstStyle/>
        <a:p>
          <a:pPr>
            <a:buNone/>
          </a:pPr>
          <a:r>
            <a:rPr lang="en-GB" sz="1200">
              <a:latin typeface="Aptos" panose="02110004020202020204"/>
              <a:ea typeface="+mn-ea"/>
              <a:cs typeface="+mn-cs"/>
            </a:rPr>
            <a:t>Whole family approach</a:t>
          </a:r>
        </a:p>
      </dgm:t>
    </dgm:pt>
    <dgm:pt modelId="{8D8E26E4-0356-4B5A-9173-7A2115F85574}" type="parTrans" cxnId="{9F5E630F-49DC-46D5-8E56-5BE3BCF92001}">
      <dgm:prSet/>
      <dgm:spPr/>
      <dgm:t>
        <a:bodyPr/>
        <a:lstStyle/>
        <a:p>
          <a:endParaRPr lang="en-GB"/>
        </a:p>
      </dgm:t>
    </dgm:pt>
    <dgm:pt modelId="{8EAA3725-E301-43D6-8411-DABBDEC48F47}" type="sibTrans" cxnId="{9F5E630F-49DC-46D5-8E56-5BE3BCF92001}">
      <dgm:prSet/>
      <dgm:spPr/>
      <dgm:t>
        <a:bodyPr/>
        <a:lstStyle/>
        <a:p>
          <a:endParaRPr lang="en-GB"/>
        </a:p>
      </dgm:t>
    </dgm:pt>
    <dgm:pt modelId="{DACE1E21-7680-4BB3-90F7-2429546099D7}">
      <dgm:prSet phldrT="[Text]" custT="1"/>
      <dgm:spPr>
        <a:xfrm>
          <a:off x="309698" y="79712"/>
          <a:ext cx="4335779" cy="265680"/>
        </a:xfrm>
      </dgm:spPr>
      <dgm:t>
        <a:bodyPr/>
        <a:lstStyle/>
        <a:p>
          <a:pPr>
            <a:buNone/>
          </a:pPr>
          <a:r>
            <a:rPr lang="en-GB" sz="1150">
              <a:latin typeface="Aptos" panose="02110004020202020204"/>
              <a:ea typeface="+mn-ea"/>
              <a:cs typeface="+mn-cs"/>
            </a:rPr>
            <a:t>The twenty-two domestic abuse incidents and disclosures represented a complex sequence of events that could only be fully understood by gaining a clear understanding of the family dynamics. To understand those dynamics, professionals needed to adopt a ‘think family’ or ‘whole family’ approach. This recognises that people rarely live in complete isolation and that professionals need to understand the needs of the wider family when engaging with any child or adult.</a:t>
          </a:r>
        </a:p>
      </dgm:t>
    </dgm:pt>
    <dgm:pt modelId="{55A560D4-FFA0-4A0F-88F0-B7EBCCFB9AE2}" type="parTrans" cxnId="{6E0E7495-466B-46FD-AB2B-16CF00CDCAFE}">
      <dgm:prSet/>
      <dgm:spPr/>
      <dgm:t>
        <a:bodyPr/>
        <a:lstStyle/>
        <a:p>
          <a:endParaRPr lang="en-GB"/>
        </a:p>
      </dgm:t>
    </dgm:pt>
    <dgm:pt modelId="{4311505C-50C2-4D1F-A50F-74FEF2D44424}" type="sibTrans" cxnId="{6E0E7495-466B-46FD-AB2B-16CF00CDCAFE}">
      <dgm:prSet/>
      <dgm:spPr/>
      <dgm:t>
        <a:bodyPr/>
        <a:lstStyle/>
        <a:p>
          <a:endParaRPr lang="en-GB"/>
        </a:p>
      </dgm:t>
    </dgm:pt>
    <dgm:pt modelId="{B5BC4E66-4BC9-4A87-B2BE-BA14D008A4FB}" type="pres">
      <dgm:prSet presAssocID="{4BBD6078-0EA1-4DAD-8F74-939ECCD356F8}" presName="linear" presStyleCnt="0">
        <dgm:presLayoutVars>
          <dgm:animLvl val="lvl"/>
          <dgm:resizeHandles val="exact"/>
        </dgm:presLayoutVars>
      </dgm:prSet>
      <dgm:spPr/>
    </dgm:pt>
    <dgm:pt modelId="{214FA22B-DBF1-4D6F-821C-5BFA95A69631}" type="pres">
      <dgm:prSet presAssocID="{562AB49D-20ED-4FAA-8B15-86034F4E1038}" presName="parentText" presStyleLbl="node1" presStyleIdx="0" presStyleCnt="6">
        <dgm:presLayoutVars>
          <dgm:chMax val="0"/>
          <dgm:bulletEnabled val="1"/>
        </dgm:presLayoutVars>
      </dgm:prSet>
      <dgm:spPr>
        <a:prstGeom prst="roundRect">
          <a:avLst/>
        </a:prstGeom>
      </dgm:spPr>
    </dgm:pt>
    <dgm:pt modelId="{E8D807FF-BEB6-4BEB-B198-7FB2EA2190F7}" type="pres">
      <dgm:prSet presAssocID="{562AB49D-20ED-4FAA-8B15-86034F4E1038}" presName="childText" presStyleLbl="revTx" presStyleIdx="0" presStyleCnt="6">
        <dgm:presLayoutVars>
          <dgm:bulletEnabled val="1"/>
        </dgm:presLayoutVars>
      </dgm:prSet>
      <dgm:spPr/>
    </dgm:pt>
    <dgm:pt modelId="{3F874DDC-D1BB-4525-8DFD-122934C72902}" type="pres">
      <dgm:prSet presAssocID="{7BA22181-D262-4FFA-A284-22616EF18430}" presName="parentText" presStyleLbl="node1" presStyleIdx="1" presStyleCnt="6" custLinFactNeighborX="185" custLinFactNeighborY="24358">
        <dgm:presLayoutVars>
          <dgm:chMax val="0"/>
          <dgm:bulletEnabled val="1"/>
        </dgm:presLayoutVars>
      </dgm:prSet>
      <dgm:spPr/>
    </dgm:pt>
    <dgm:pt modelId="{F8376580-2514-4E6E-808F-545647701E40}" type="pres">
      <dgm:prSet presAssocID="{7BA22181-D262-4FFA-A284-22616EF18430}" presName="childText" presStyleLbl="revTx" presStyleIdx="1" presStyleCnt="6">
        <dgm:presLayoutVars>
          <dgm:bulletEnabled val="1"/>
        </dgm:presLayoutVars>
      </dgm:prSet>
      <dgm:spPr/>
    </dgm:pt>
    <dgm:pt modelId="{1962D18B-C7EB-4930-B249-F54B15540448}" type="pres">
      <dgm:prSet presAssocID="{949B38E9-8193-4044-A392-F8FF01F9282D}" presName="parentText" presStyleLbl="node1" presStyleIdx="2" presStyleCnt="6">
        <dgm:presLayoutVars>
          <dgm:chMax val="0"/>
          <dgm:bulletEnabled val="1"/>
        </dgm:presLayoutVars>
      </dgm:prSet>
      <dgm:spPr/>
    </dgm:pt>
    <dgm:pt modelId="{3100F4AD-E9C8-4931-A22E-D11E02BEA627}" type="pres">
      <dgm:prSet presAssocID="{949B38E9-8193-4044-A392-F8FF01F9282D}" presName="childText" presStyleLbl="revTx" presStyleIdx="2" presStyleCnt="6">
        <dgm:presLayoutVars>
          <dgm:bulletEnabled val="1"/>
        </dgm:presLayoutVars>
      </dgm:prSet>
      <dgm:spPr/>
    </dgm:pt>
    <dgm:pt modelId="{88755968-E16B-4D04-AF42-BF90E62DE52A}" type="pres">
      <dgm:prSet presAssocID="{17027452-EA6B-4C75-9129-62616ACCF5BF}" presName="parentText" presStyleLbl="node1" presStyleIdx="3" presStyleCnt="6">
        <dgm:presLayoutVars>
          <dgm:chMax val="0"/>
          <dgm:bulletEnabled val="1"/>
        </dgm:presLayoutVars>
      </dgm:prSet>
      <dgm:spPr/>
    </dgm:pt>
    <dgm:pt modelId="{AA41DA7A-1B88-4DC3-9ADD-041435F4C66B}" type="pres">
      <dgm:prSet presAssocID="{17027452-EA6B-4C75-9129-62616ACCF5BF}" presName="childText" presStyleLbl="revTx" presStyleIdx="3" presStyleCnt="6">
        <dgm:presLayoutVars>
          <dgm:bulletEnabled val="1"/>
        </dgm:presLayoutVars>
      </dgm:prSet>
      <dgm:spPr/>
    </dgm:pt>
    <dgm:pt modelId="{CC6871B8-238C-4C68-AEB7-8A0A66DBA5F6}" type="pres">
      <dgm:prSet presAssocID="{31A48229-79BE-4466-99BF-56C2CC338BFF}" presName="parentText" presStyleLbl="node1" presStyleIdx="4" presStyleCnt="6">
        <dgm:presLayoutVars>
          <dgm:chMax val="0"/>
          <dgm:bulletEnabled val="1"/>
        </dgm:presLayoutVars>
      </dgm:prSet>
      <dgm:spPr/>
    </dgm:pt>
    <dgm:pt modelId="{E9E2D904-E37B-444A-86BB-04E42AD3865F}" type="pres">
      <dgm:prSet presAssocID="{31A48229-79BE-4466-99BF-56C2CC338BFF}" presName="childText" presStyleLbl="revTx" presStyleIdx="4" presStyleCnt="6">
        <dgm:presLayoutVars>
          <dgm:bulletEnabled val="1"/>
        </dgm:presLayoutVars>
      </dgm:prSet>
      <dgm:spPr/>
    </dgm:pt>
    <dgm:pt modelId="{C5D1BBB8-548F-46EB-984C-03B7ED997DB9}" type="pres">
      <dgm:prSet presAssocID="{674AE857-3277-4FC7-B373-426442C233D0}" presName="parentText" presStyleLbl="node1" presStyleIdx="5" presStyleCnt="6">
        <dgm:presLayoutVars>
          <dgm:chMax val="0"/>
          <dgm:bulletEnabled val="1"/>
        </dgm:presLayoutVars>
      </dgm:prSet>
      <dgm:spPr/>
    </dgm:pt>
    <dgm:pt modelId="{2DEC0E3B-694F-4ACA-A053-203E6AD1A93D}" type="pres">
      <dgm:prSet presAssocID="{674AE857-3277-4FC7-B373-426442C233D0}" presName="childText" presStyleLbl="revTx" presStyleIdx="5" presStyleCnt="6">
        <dgm:presLayoutVars>
          <dgm:bulletEnabled val="1"/>
        </dgm:presLayoutVars>
      </dgm:prSet>
      <dgm:spPr/>
    </dgm:pt>
  </dgm:ptLst>
  <dgm:cxnLst>
    <dgm:cxn modelId="{70311300-95A6-4A78-96C0-CB295D23652A}" srcId="{4BBD6078-0EA1-4DAD-8F74-939ECCD356F8}" destId="{17027452-EA6B-4C75-9129-62616ACCF5BF}" srcOrd="3" destOrd="0" parTransId="{379BC0D5-AF1B-4D24-B65C-FDA8F9A4D993}" sibTransId="{E6E54026-3B57-4463-9350-ABDB64B0CE82}"/>
    <dgm:cxn modelId="{65317208-54E1-4A66-907F-1D8C744E566A}" type="presOf" srcId="{1A9BDB3E-77C0-4EA6-8F59-B79B06EBFB5F}" destId="{3100F4AD-E9C8-4931-A22E-D11E02BEA627}" srcOrd="0" destOrd="0" presId="urn:microsoft.com/office/officeart/2005/8/layout/vList2"/>
    <dgm:cxn modelId="{9F5E630F-49DC-46D5-8E56-5BE3BCF92001}" srcId="{4BBD6078-0EA1-4DAD-8F74-939ECCD356F8}" destId="{674AE857-3277-4FC7-B373-426442C233D0}" srcOrd="5" destOrd="0" parTransId="{8D8E26E4-0356-4B5A-9173-7A2115F85574}" sibTransId="{8EAA3725-E301-43D6-8411-DABBDEC48F47}"/>
    <dgm:cxn modelId="{4EE3FE18-11D1-4076-94F1-09B2DFA1F20A}" type="presOf" srcId="{31A48229-79BE-4466-99BF-56C2CC338BFF}" destId="{CC6871B8-238C-4C68-AEB7-8A0A66DBA5F6}" srcOrd="0" destOrd="0" presId="urn:microsoft.com/office/officeart/2005/8/layout/vList2"/>
    <dgm:cxn modelId="{04D06620-1C8B-4F39-AEDA-E21D561D6705}" srcId="{4BBD6078-0EA1-4DAD-8F74-939ECCD356F8}" destId="{7BA22181-D262-4FFA-A284-22616EF18430}" srcOrd="1" destOrd="0" parTransId="{64800A28-2958-4D3E-8694-09A0674DAB95}" sibTransId="{F1212363-50DB-4B16-A4DB-E826A73A01AF}"/>
    <dgm:cxn modelId="{53F39720-5653-4C82-9441-A7B6B7AEAA8A}" type="presOf" srcId="{E60DA21C-5FB2-45E4-B219-513DC30A84E5}" destId="{AA41DA7A-1B88-4DC3-9ADD-041435F4C66B}" srcOrd="0" destOrd="0" presId="urn:microsoft.com/office/officeart/2005/8/layout/vList2"/>
    <dgm:cxn modelId="{DE707835-9B90-46D4-8664-716307CDAC0F}" type="presOf" srcId="{7BA22181-D262-4FFA-A284-22616EF18430}" destId="{3F874DDC-D1BB-4525-8DFD-122934C72902}" srcOrd="0" destOrd="0" presId="urn:microsoft.com/office/officeart/2005/8/layout/vList2"/>
    <dgm:cxn modelId="{BE83D75D-AFBE-4DEC-B450-248CF33E20B8}" type="presOf" srcId="{17027452-EA6B-4C75-9129-62616ACCF5BF}" destId="{88755968-E16B-4D04-AF42-BF90E62DE52A}" srcOrd="0" destOrd="0" presId="urn:microsoft.com/office/officeart/2005/8/layout/vList2"/>
    <dgm:cxn modelId="{9AAF8D42-8F77-49C1-AFCB-8DA3FDDEC890}" type="presOf" srcId="{20796594-2143-41FE-B7EB-859EDB003BD4}" destId="{F8376580-2514-4E6E-808F-545647701E40}" srcOrd="0" destOrd="0" presId="urn:microsoft.com/office/officeart/2005/8/layout/vList2"/>
    <dgm:cxn modelId="{F32FBA68-C41B-434D-B7D0-91C0C48BC9AF}" type="presOf" srcId="{21E8DA4C-69B7-49F8-A7FC-0120F8E3F280}" destId="{E9E2D904-E37B-444A-86BB-04E42AD3865F}" srcOrd="0" destOrd="0" presId="urn:microsoft.com/office/officeart/2005/8/layout/vList2"/>
    <dgm:cxn modelId="{ED180E4B-0826-4D64-9A64-9B40E3511771}" srcId="{949B38E9-8193-4044-A392-F8FF01F9282D}" destId="{1A9BDB3E-77C0-4EA6-8F59-B79B06EBFB5F}" srcOrd="0" destOrd="0" parTransId="{ACEB1B27-BA88-49A2-BE68-0B6623F0704B}" sibTransId="{3E1DBF77-6CFC-4A36-A038-FBCCECC93102}"/>
    <dgm:cxn modelId="{B2A40189-ECA5-4994-A2E5-5A8F8430000E}" type="presOf" srcId="{674AE857-3277-4FC7-B373-426442C233D0}" destId="{C5D1BBB8-548F-46EB-984C-03B7ED997DB9}" srcOrd="0" destOrd="0" presId="urn:microsoft.com/office/officeart/2005/8/layout/vList2"/>
    <dgm:cxn modelId="{C7635F8E-95E1-4EAC-95B0-0ACB554C9565}" srcId="{31A48229-79BE-4466-99BF-56C2CC338BFF}" destId="{21E8DA4C-69B7-49F8-A7FC-0120F8E3F280}" srcOrd="0" destOrd="0" parTransId="{517B557E-D3F5-4A38-BD8E-110DAEB0D8AE}" sibTransId="{FEA1C4E5-0A17-48DC-B040-6244DA1BE36D}"/>
    <dgm:cxn modelId="{6E0E7495-466B-46FD-AB2B-16CF00CDCAFE}" srcId="{674AE857-3277-4FC7-B373-426442C233D0}" destId="{DACE1E21-7680-4BB3-90F7-2429546099D7}" srcOrd="0" destOrd="0" parTransId="{55A560D4-FFA0-4A0F-88F0-B7EBCCFB9AE2}" sibTransId="{4311505C-50C2-4D1F-A50F-74FEF2D44424}"/>
    <dgm:cxn modelId="{321104A0-5651-4FC1-8FB3-B577691AABB6}" type="presOf" srcId="{562AB49D-20ED-4FAA-8B15-86034F4E1038}" destId="{214FA22B-DBF1-4D6F-821C-5BFA95A69631}" srcOrd="0" destOrd="0" presId="urn:microsoft.com/office/officeart/2005/8/layout/vList2"/>
    <dgm:cxn modelId="{3D32C4A0-1F76-4658-993E-BAA1C97852D5}" type="presOf" srcId="{949B38E9-8193-4044-A392-F8FF01F9282D}" destId="{1962D18B-C7EB-4930-B249-F54B15540448}" srcOrd="0" destOrd="0" presId="urn:microsoft.com/office/officeart/2005/8/layout/vList2"/>
    <dgm:cxn modelId="{8F2025A3-E54B-416E-8A53-92FA08421B2D}" type="presOf" srcId="{B6508507-225F-444F-9CA8-BE5C830227C5}" destId="{E8D807FF-BEB6-4BEB-B198-7FB2EA2190F7}" srcOrd="0" destOrd="0" presId="urn:microsoft.com/office/officeart/2005/8/layout/vList2"/>
    <dgm:cxn modelId="{9E3AC4BE-013F-4A8A-8CE2-B610EE03233C}" srcId="{4BBD6078-0EA1-4DAD-8F74-939ECCD356F8}" destId="{949B38E9-8193-4044-A392-F8FF01F9282D}" srcOrd="2" destOrd="0" parTransId="{088859CE-1C81-4646-A3E7-9B6067CFC872}" sibTransId="{3AA41367-F8F8-42D8-8370-0A2368766051}"/>
    <dgm:cxn modelId="{764330C3-83D7-409C-9A44-D780F5B71F10}" type="presOf" srcId="{4BBD6078-0EA1-4DAD-8F74-939ECCD356F8}" destId="{B5BC4E66-4BC9-4A87-B2BE-BA14D008A4FB}" srcOrd="0" destOrd="0" presId="urn:microsoft.com/office/officeart/2005/8/layout/vList2"/>
    <dgm:cxn modelId="{95664CCB-8BAB-4449-9600-7E2A695AFD02}" srcId="{17027452-EA6B-4C75-9129-62616ACCF5BF}" destId="{E60DA21C-5FB2-45E4-B219-513DC30A84E5}" srcOrd="0" destOrd="0" parTransId="{5B9602C0-C8BE-4267-B3B6-5EE049A60908}" sibTransId="{7E14BBFC-20E3-473A-8CB7-6FBA8E80559B}"/>
    <dgm:cxn modelId="{27FB1ED6-6BD4-403F-9081-F31DC84C15D9}" srcId="{4BBD6078-0EA1-4DAD-8F74-939ECCD356F8}" destId="{31A48229-79BE-4466-99BF-56C2CC338BFF}" srcOrd="4" destOrd="0" parTransId="{2C7D417B-1BE3-42B5-BFB0-28D1D89CBC3A}" sibTransId="{6B5D65AD-AD9E-422C-B77D-84648AE9FFC7}"/>
    <dgm:cxn modelId="{30B2EEDB-012A-408B-9203-E10BCD126A22}" srcId="{7BA22181-D262-4FFA-A284-22616EF18430}" destId="{20796594-2143-41FE-B7EB-859EDB003BD4}" srcOrd="0" destOrd="0" parTransId="{BBF8258B-C25C-4595-BE95-B718D8F9E7AA}" sibTransId="{85502930-471B-45A8-8E99-5C4FE4EE589A}"/>
    <dgm:cxn modelId="{86468FDC-FA94-49CD-AF3F-0881495B19D2}" srcId="{4BBD6078-0EA1-4DAD-8F74-939ECCD356F8}" destId="{562AB49D-20ED-4FAA-8B15-86034F4E1038}" srcOrd="0" destOrd="0" parTransId="{80581002-96E2-4718-B091-4AEDE3822CC0}" sibTransId="{CE47FD74-CB67-4C1D-9E8C-24F843F28109}"/>
    <dgm:cxn modelId="{CF118EEA-D63E-46DF-A4AE-B3A04D9E65C4}" type="presOf" srcId="{DACE1E21-7680-4BB3-90F7-2429546099D7}" destId="{2DEC0E3B-694F-4ACA-A053-203E6AD1A93D}" srcOrd="0" destOrd="0" presId="urn:microsoft.com/office/officeart/2005/8/layout/vList2"/>
    <dgm:cxn modelId="{A555C3F7-70B7-44D1-B8A7-7D3754D35B7A}" srcId="{562AB49D-20ED-4FAA-8B15-86034F4E1038}" destId="{B6508507-225F-444F-9CA8-BE5C830227C5}" srcOrd="0" destOrd="0" parTransId="{2A43E851-7FD1-4E31-B916-F43BD2DFE356}" sibTransId="{B63F217F-3A74-4FF8-800C-D6EB363D5967}"/>
    <dgm:cxn modelId="{1282F90F-896E-43EA-8A48-0493906D2D7F}" type="presParOf" srcId="{B5BC4E66-4BC9-4A87-B2BE-BA14D008A4FB}" destId="{214FA22B-DBF1-4D6F-821C-5BFA95A69631}" srcOrd="0" destOrd="0" presId="urn:microsoft.com/office/officeart/2005/8/layout/vList2"/>
    <dgm:cxn modelId="{B5B9BE38-ED71-4BDD-98B8-087F8DF56868}" type="presParOf" srcId="{B5BC4E66-4BC9-4A87-B2BE-BA14D008A4FB}" destId="{E8D807FF-BEB6-4BEB-B198-7FB2EA2190F7}" srcOrd="1" destOrd="0" presId="urn:microsoft.com/office/officeart/2005/8/layout/vList2"/>
    <dgm:cxn modelId="{CFCBEFAE-E2ED-49AF-A2E4-AEDACD09EE34}" type="presParOf" srcId="{B5BC4E66-4BC9-4A87-B2BE-BA14D008A4FB}" destId="{3F874DDC-D1BB-4525-8DFD-122934C72902}" srcOrd="2" destOrd="0" presId="urn:microsoft.com/office/officeart/2005/8/layout/vList2"/>
    <dgm:cxn modelId="{82300A95-D213-4394-BA4D-FA0CBF2A465A}" type="presParOf" srcId="{B5BC4E66-4BC9-4A87-B2BE-BA14D008A4FB}" destId="{F8376580-2514-4E6E-808F-545647701E40}" srcOrd="3" destOrd="0" presId="urn:microsoft.com/office/officeart/2005/8/layout/vList2"/>
    <dgm:cxn modelId="{E18BD47C-4F02-4E7F-95C9-DB5ADCA1ECCA}" type="presParOf" srcId="{B5BC4E66-4BC9-4A87-B2BE-BA14D008A4FB}" destId="{1962D18B-C7EB-4930-B249-F54B15540448}" srcOrd="4" destOrd="0" presId="urn:microsoft.com/office/officeart/2005/8/layout/vList2"/>
    <dgm:cxn modelId="{3353972E-015B-4065-BAB7-24092EA95516}" type="presParOf" srcId="{B5BC4E66-4BC9-4A87-B2BE-BA14D008A4FB}" destId="{3100F4AD-E9C8-4931-A22E-D11E02BEA627}" srcOrd="5" destOrd="0" presId="urn:microsoft.com/office/officeart/2005/8/layout/vList2"/>
    <dgm:cxn modelId="{E074ACBF-81E2-4D5F-9143-0E36254016A0}" type="presParOf" srcId="{B5BC4E66-4BC9-4A87-B2BE-BA14D008A4FB}" destId="{88755968-E16B-4D04-AF42-BF90E62DE52A}" srcOrd="6" destOrd="0" presId="urn:microsoft.com/office/officeart/2005/8/layout/vList2"/>
    <dgm:cxn modelId="{B870178E-33A6-4131-946E-CE543BF10F70}" type="presParOf" srcId="{B5BC4E66-4BC9-4A87-B2BE-BA14D008A4FB}" destId="{AA41DA7A-1B88-4DC3-9ADD-041435F4C66B}" srcOrd="7" destOrd="0" presId="urn:microsoft.com/office/officeart/2005/8/layout/vList2"/>
    <dgm:cxn modelId="{AC26E575-35DD-46C2-980E-FB0ED8E209E6}" type="presParOf" srcId="{B5BC4E66-4BC9-4A87-B2BE-BA14D008A4FB}" destId="{CC6871B8-238C-4C68-AEB7-8A0A66DBA5F6}" srcOrd="8" destOrd="0" presId="urn:microsoft.com/office/officeart/2005/8/layout/vList2"/>
    <dgm:cxn modelId="{7FD9BF3D-F1BB-4DB3-84F4-6F191C36F277}" type="presParOf" srcId="{B5BC4E66-4BC9-4A87-B2BE-BA14D008A4FB}" destId="{E9E2D904-E37B-444A-86BB-04E42AD3865F}" srcOrd="9" destOrd="0" presId="urn:microsoft.com/office/officeart/2005/8/layout/vList2"/>
    <dgm:cxn modelId="{AB1D6094-15DD-4922-87FD-75687E35B68F}" type="presParOf" srcId="{B5BC4E66-4BC9-4A87-B2BE-BA14D008A4FB}" destId="{C5D1BBB8-548F-46EB-984C-03B7ED997DB9}" srcOrd="10" destOrd="0" presId="urn:microsoft.com/office/officeart/2005/8/layout/vList2"/>
    <dgm:cxn modelId="{E2DCF6FD-9EBF-470B-B2CF-4BE85C3E49F2}" type="presParOf" srcId="{B5BC4E66-4BC9-4A87-B2BE-BA14D008A4FB}" destId="{2DEC0E3B-694F-4ACA-A053-203E6AD1A93D}" srcOrd="11" destOrd="0" presId="urn:microsoft.com/office/officeart/2005/8/layout/vList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A0A099-A63A-402A-B523-458F8645A79B}" type="doc">
      <dgm:prSet loTypeId="urn:microsoft.com/office/officeart/2005/8/layout/default" loCatId="list" qsTypeId="urn:microsoft.com/office/officeart/2005/8/quickstyle/simple1#3" qsCatId="simple" csTypeId="urn:microsoft.com/office/officeart/2005/8/colors/accent3_2#1" csCatId="accent3" phldr="1"/>
      <dgm:spPr/>
      <dgm:t>
        <a:bodyPr/>
        <a:lstStyle/>
        <a:p>
          <a:endParaRPr lang="en-GB"/>
        </a:p>
      </dgm:t>
    </dgm:pt>
    <dgm:pt modelId="{9021B2A3-2DDA-4B67-87A4-04AAD77B41F4}">
      <dgm:prSet custT="1"/>
      <dgm:spPr/>
      <dgm:t>
        <a:bodyPr/>
        <a:lstStyle/>
        <a:p>
          <a:r>
            <a:rPr lang="en-GB" sz="1200"/>
            <a:t>Domestic abuse history should be considered when assessing risk, particularly where there are repeated incidents, coercive or controlling behaviour, mental health concerns, or wider indicators of vulnerability. </a:t>
          </a:r>
        </a:p>
      </dgm:t>
    </dgm:pt>
    <dgm:pt modelId="{1FF24E3C-E587-4F21-895F-B4FD535BBD62}" type="parTrans" cxnId="{3CA676C3-6F9B-4E29-BD41-3488C5825310}">
      <dgm:prSet/>
      <dgm:spPr/>
      <dgm:t>
        <a:bodyPr/>
        <a:lstStyle/>
        <a:p>
          <a:endParaRPr lang="en-GB" sz="1200"/>
        </a:p>
      </dgm:t>
    </dgm:pt>
    <dgm:pt modelId="{F0318A24-36D8-4EF0-94DD-200C5E6C7591}" type="sibTrans" cxnId="{3CA676C3-6F9B-4E29-BD41-3488C5825310}">
      <dgm:prSet/>
      <dgm:spPr/>
      <dgm:t>
        <a:bodyPr/>
        <a:lstStyle/>
        <a:p>
          <a:endParaRPr lang="en-GB" sz="1200"/>
        </a:p>
      </dgm:t>
    </dgm:pt>
    <dgm:pt modelId="{FDBCB89E-86E4-42B5-A15A-4D0F3A25CE6A}">
      <dgm:prSet custT="1"/>
      <dgm:spPr/>
      <dgm:t>
        <a:bodyPr/>
        <a:lstStyle/>
        <a:p>
          <a:r>
            <a:rPr lang="en-GB" sz="1200"/>
            <a:t>Repeat incidents assessed as standard or medium risk should still prompt professional curiosity and consideration of whether referral to a Multi-Agency Risk Assessment Conference, or further multi-agency discussion, is needed.</a:t>
          </a:r>
        </a:p>
      </dgm:t>
    </dgm:pt>
    <dgm:pt modelId="{4827EA0D-3388-49EC-876E-D7E9F1E4359C}" type="parTrans" cxnId="{D90CE1B2-DA1A-4463-8599-911DFB67B934}">
      <dgm:prSet/>
      <dgm:spPr/>
      <dgm:t>
        <a:bodyPr/>
        <a:lstStyle/>
        <a:p>
          <a:endParaRPr lang="en-GB" sz="1200"/>
        </a:p>
      </dgm:t>
    </dgm:pt>
    <dgm:pt modelId="{DE07BA42-7851-41B7-BE64-CD89221B6E94}" type="sibTrans" cxnId="{D90CE1B2-DA1A-4463-8599-911DFB67B934}">
      <dgm:prSet/>
      <dgm:spPr/>
      <dgm:t>
        <a:bodyPr/>
        <a:lstStyle/>
        <a:p>
          <a:endParaRPr lang="en-GB" sz="1200"/>
        </a:p>
      </dgm:t>
    </dgm:pt>
    <dgm:pt modelId="{BEB8EDF4-60E9-465C-8CBA-2B3681B5C098}">
      <dgm:prSet custT="1"/>
      <dgm:spPr/>
      <dgm:t>
        <a:bodyPr/>
        <a:lstStyle/>
        <a:p>
          <a:r>
            <a:rPr lang="en-GB" sz="1200"/>
            <a:t>Domestic abuse triage arrangements should consider the needs of the whole family, including adult victims, children, and family members who may not live in the same household.</a:t>
          </a:r>
        </a:p>
      </dgm:t>
    </dgm:pt>
    <dgm:pt modelId="{82913926-DF1C-45E5-BB03-8F64AE906978}" type="parTrans" cxnId="{009E8F82-ACED-4A09-A48C-02E11B6C2BB2}">
      <dgm:prSet/>
      <dgm:spPr/>
      <dgm:t>
        <a:bodyPr/>
        <a:lstStyle/>
        <a:p>
          <a:endParaRPr lang="en-GB" sz="1200"/>
        </a:p>
      </dgm:t>
    </dgm:pt>
    <dgm:pt modelId="{877DBF9D-0A44-4DA1-A0B6-A2E10B8EF369}" type="sibTrans" cxnId="{009E8F82-ACED-4A09-A48C-02E11B6C2BB2}">
      <dgm:prSet/>
      <dgm:spPr/>
      <dgm:t>
        <a:bodyPr/>
        <a:lstStyle/>
        <a:p>
          <a:endParaRPr lang="en-GB" sz="1200"/>
        </a:p>
      </dgm:t>
    </dgm:pt>
    <dgm:pt modelId="{1229B130-01A6-40F7-ADF6-1CEB76FCB211}">
      <dgm:prSet custT="1"/>
      <dgm:spPr/>
      <dgm:t>
        <a:bodyPr/>
        <a:lstStyle/>
        <a:p>
          <a:r>
            <a:rPr lang="en-GB" sz="1200"/>
            <a:t>Agencies should consider whether adult safeguarding, Adult Social Care involvement, or a Care Act assessment may be appropriate where domestic abuse is linked to vulnerability, mental health, substance use, or escalating need.</a:t>
          </a:r>
        </a:p>
      </dgm:t>
    </dgm:pt>
    <dgm:pt modelId="{5F65A422-5AD1-41DF-8967-F5D657F92181}" type="parTrans" cxnId="{22777353-8A56-4951-9DC4-6BD8E1263B2B}">
      <dgm:prSet/>
      <dgm:spPr/>
      <dgm:t>
        <a:bodyPr/>
        <a:lstStyle/>
        <a:p>
          <a:endParaRPr lang="en-GB" sz="1200"/>
        </a:p>
      </dgm:t>
    </dgm:pt>
    <dgm:pt modelId="{4C7F9F99-C240-4E7E-B076-305A3BA8DBD9}" type="sibTrans" cxnId="{22777353-8A56-4951-9DC4-6BD8E1263B2B}">
      <dgm:prSet/>
      <dgm:spPr/>
      <dgm:t>
        <a:bodyPr/>
        <a:lstStyle/>
        <a:p>
          <a:endParaRPr lang="en-GB" sz="1200"/>
        </a:p>
      </dgm:t>
    </dgm:pt>
    <dgm:pt modelId="{229808AB-9227-4E74-AB4E-0C9BEEB62D99}">
      <dgm:prSet custT="1"/>
      <dgm:spPr/>
      <dgm:t>
        <a:bodyPr/>
        <a:lstStyle/>
        <a:p>
          <a:r>
            <a:rPr lang="en-GB" sz="1200"/>
            <a:t>Professionals should be aware of familial domestic abuse, including child-to-parent abuse, and understand what support pathways are available locally.</a:t>
          </a:r>
        </a:p>
      </dgm:t>
    </dgm:pt>
    <dgm:pt modelId="{EA854B87-92C9-4831-A8AB-43D0836CC7D2}" type="parTrans" cxnId="{3EC1827D-FDA6-4D05-9D77-034DBD698056}">
      <dgm:prSet/>
      <dgm:spPr/>
      <dgm:t>
        <a:bodyPr/>
        <a:lstStyle/>
        <a:p>
          <a:endParaRPr lang="en-GB" sz="1200"/>
        </a:p>
      </dgm:t>
    </dgm:pt>
    <dgm:pt modelId="{943023E9-E09B-45BA-983D-AA2BA7E21F2F}" type="sibTrans" cxnId="{3EC1827D-FDA6-4D05-9D77-034DBD698056}">
      <dgm:prSet/>
      <dgm:spPr/>
      <dgm:t>
        <a:bodyPr/>
        <a:lstStyle/>
        <a:p>
          <a:endParaRPr lang="en-GB" sz="1200"/>
        </a:p>
      </dgm:t>
    </dgm:pt>
    <dgm:pt modelId="{9A90161F-3010-484D-A4B1-A4A0E161E524}">
      <dgm:prSet custT="1"/>
      <dgm:spPr/>
      <dgm:t>
        <a:bodyPr/>
        <a:lstStyle/>
        <a:p>
          <a:r>
            <a:rPr lang="en-GB" sz="1200"/>
            <a:t>Where an adult involved in domestic abuse works with children or vulnerable groups, agencies should consider whether Local Authority Designated Officer advice or referral is required, using professional curiosity to understand any transferable risk.</a:t>
          </a:r>
        </a:p>
      </dgm:t>
    </dgm:pt>
    <dgm:pt modelId="{EF336CA4-B339-42CD-AB47-B35F7CDCB245}" type="parTrans" cxnId="{57975CE6-B046-4860-94A4-8D71B6BB1C1E}">
      <dgm:prSet/>
      <dgm:spPr/>
      <dgm:t>
        <a:bodyPr/>
        <a:lstStyle/>
        <a:p>
          <a:endParaRPr lang="en-GB" sz="1200"/>
        </a:p>
      </dgm:t>
    </dgm:pt>
    <dgm:pt modelId="{71972509-4FD3-4F4B-87BB-012E916E7402}" type="sibTrans" cxnId="{57975CE6-B046-4860-94A4-8D71B6BB1C1E}">
      <dgm:prSet/>
      <dgm:spPr/>
      <dgm:t>
        <a:bodyPr/>
        <a:lstStyle/>
        <a:p>
          <a:endParaRPr lang="en-GB" sz="1200"/>
        </a:p>
      </dgm:t>
    </dgm:pt>
    <dgm:pt modelId="{B0F235FD-DD53-469D-AC4F-0F421E9303E7}">
      <dgm:prSet custT="1"/>
      <dgm:spPr/>
      <dgm:t>
        <a:bodyPr/>
        <a:lstStyle/>
        <a:p>
          <a:r>
            <a:rPr lang="en-GB" sz="1200"/>
            <a:t>Information sharing between agencies should support a fuller understanding of cumulative risk, rather than focusing only on individual incidents in isolation.</a:t>
          </a:r>
        </a:p>
      </dgm:t>
    </dgm:pt>
    <dgm:pt modelId="{934E987C-B696-4130-9617-3715CF942AAD}" type="parTrans" cxnId="{8FDBB452-CE65-4560-990B-58499274FC0E}">
      <dgm:prSet/>
      <dgm:spPr/>
      <dgm:t>
        <a:bodyPr/>
        <a:lstStyle/>
        <a:p>
          <a:endParaRPr lang="en-GB" sz="1200"/>
        </a:p>
      </dgm:t>
    </dgm:pt>
    <dgm:pt modelId="{5EB9DFAB-FCA9-47EF-BD43-C5669BF01ED3}" type="sibTrans" cxnId="{8FDBB452-CE65-4560-990B-58499274FC0E}">
      <dgm:prSet/>
      <dgm:spPr/>
      <dgm:t>
        <a:bodyPr/>
        <a:lstStyle/>
        <a:p>
          <a:endParaRPr lang="en-GB" sz="1200"/>
        </a:p>
      </dgm:t>
    </dgm:pt>
    <dgm:pt modelId="{E220E5DD-059F-44AE-AE5D-0F2E8B9D7A62}">
      <dgm:prSet custT="1"/>
      <dgm:spPr/>
      <dgm:t>
        <a:bodyPr/>
        <a:lstStyle/>
        <a:p>
          <a:r>
            <a:rPr lang="en-GB" sz="1200"/>
            <a:t>Professionals should ensure they are familiar with the Shropshire Domestic Abuse Pathway.</a:t>
          </a:r>
        </a:p>
      </dgm:t>
    </dgm:pt>
    <dgm:pt modelId="{4623CA69-888C-4226-BAEC-7CB94A0932C2}" type="parTrans" cxnId="{6D16C1D4-AF29-4385-A102-E7B80051E14E}">
      <dgm:prSet/>
      <dgm:spPr/>
      <dgm:t>
        <a:bodyPr/>
        <a:lstStyle/>
        <a:p>
          <a:endParaRPr lang="en-GB" sz="1200"/>
        </a:p>
      </dgm:t>
    </dgm:pt>
    <dgm:pt modelId="{302FBD63-5162-4F86-B8C4-B05D42FDF734}" type="sibTrans" cxnId="{6D16C1D4-AF29-4385-A102-E7B80051E14E}">
      <dgm:prSet/>
      <dgm:spPr/>
      <dgm:t>
        <a:bodyPr/>
        <a:lstStyle/>
        <a:p>
          <a:endParaRPr lang="en-GB" sz="1200"/>
        </a:p>
      </dgm:t>
    </dgm:pt>
    <dgm:pt modelId="{1A4921F1-FB83-494E-B306-7A701EF9AEAC}" type="pres">
      <dgm:prSet presAssocID="{4DA0A099-A63A-402A-B523-458F8645A79B}" presName="diagram" presStyleCnt="0">
        <dgm:presLayoutVars>
          <dgm:dir/>
          <dgm:resizeHandles val="exact"/>
        </dgm:presLayoutVars>
      </dgm:prSet>
      <dgm:spPr/>
    </dgm:pt>
    <dgm:pt modelId="{5F3999C3-1910-45C0-9467-58D44DA24F2D}" type="pres">
      <dgm:prSet presAssocID="{9021B2A3-2DDA-4B67-87A4-04AAD77B41F4}" presName="node" presStyleLbl="node1" presStyleIdx="0" presStyleCnt="8">
        <dgm:presLayoutVars>
          <dgm:bulletEnabled val="1"/>
        </dgm:presLayoutVars>
      </dgm:prSet>
      <dgm:spPr/>
    </dgm:pt>
    <dgm:pt modelId="{13919F79-6292-4421-94EF-BBE271B2AA9C}" type="pres">
      <dgm:prSet presAssocID="{F0318A24-36D8-4EF0-94DD-200C5E6C7591}" presName="sibTrans" presStyleCnt="0"/>
      <dgm:spPr/>
    </dgm:pt>
    <dgm:pt modelId="{CB38B2F6-D129-4D8F-920A-093818002135}" type="pres">
      <dgm:prSet presAssocID="{FDBCB89E-86E4-42B5-A15A-4D0F3A25CE6A}" presName="node" presStyleLbl="node1" presStyleIdx="1" presStyleCnt="8">
        <dgm:presLayoutVars>
          <dgm:bulletEnabled val="1"/>
        </dgm:presLayoutVars>
      </dgm:prSet>
      <dgm:spPr/>
    </dgm:pt>
    <dgm:pt modelId="{497D57E5-A4D7-4C9E-B18F-7E7FFC159670}" type="pres">
      <dgm:prSet presAssocID="{DE07BA42-7851-41B7-BE64-CD89221B6E94}" presName="sibTrans" presStyleCnt="0"/>
      <dgm:spPr/>
    </dgm:pt>
    <dgm:pt modelId="{D7E0FF23-03E2-48D8-AE00-1A14C708C829}" type="pres">
      <dgm:prSet presAssocID="{BEB8EDF4-60E9-465C-8CBA-2B3681B5C098}" presName="node" presStyleLbl="node1" presStyleIdx="2" presStyleCnt="8">
        <dgm:presLayoutVars>
          <dgm:bulletEnabled val="1"/>
        </dgm:presLayoutVars>
      </dgm:prSet>
      <dgm:spPr/>
    </dgm:pt>
    <dgm:pt modelId="{FCC4139D-BF18-42D1-8538-B2E65F3A8256}" type="pres">
      <dgm:prSet presAssocID="{877DBF9D-0A44-4DA1-A0B6-A2E10B8EF369}" presName="sibTrans" presStyleCnt="0"/>
      <dgm:spPr/>
    </dgm:pt>
    <dgm:pt modelId="{1AD07E51-BF3D-4F3C-BCF6-29FCB6494BB2}" type="pres">
      <dgm:prSet presAssocID="{1229B130-01A6-40F7-ADF6-1CEB76FCB211}" presName="node" presStyleLbl="node1" presStyleIdx="3" presStyleCnt="8">
        <dgm:presLayoutVars>
          <dgm:bulletEnabled val="1"/>
        </dgm:presLayoutVars>
      </dgm:prSet>
      <dgm:spPr/>
    </dgm:pt>
    <dgm:pt modelId="{77253CAD-AC99-4FB0-BB82-A3E18A9F5B66}" type="pres">
      <dgm:prSet presAssocID="{4C7F9F99-C240-4E7E-B076-305A3BA8DBD9}" presName="sibTrans" presStyleCnt="0"/>
      <dgm:spPr/>
    </dgm:pt>
    <dgm:pt modelId="{D432F2C4-33D1-4495-99FB-CD1634937038}" type="pres">
      <dgm:prSet presAssocID="{229808AB-9227-4E74-AB4E-0C9BEEB62D99}" presName="node" presStyleLbl="node1" presStyleIdx="4" presStyleCnt="8">
        <dgm:presLayoutVars>
          <dgm:bulletEnabled val="1"/>
        </dgm:presLayoutVars>
      </dgm:prSet>
      <dgm:spPr/>
    </dgm:pt>
    <dgm:pt modelId="{2799E0E6-3818-4820-ADB5-83BC1F870245}" type="pres">
      <dgm:prSet presAssocID="{943023E9-E09B-45BA-983D-AA2BA7E21F2F}" presName="sibTrans" presStyleCnt="0"/>
      <dgm:spPr/>
    </dgm:pt>
    <dgm:pt modelId="{FC353F00-F829-4F90-B53C-930BC83D6591}" type="pres">
      <dgm:prSet presAssocID="{9A90161F-3010-484D-A4B1-A4A0E161E524}" presName="node" presStyleLbl="node1" presStyleIdx="5" presStyleCnt="8">
        <dgm:presLayoutVars>
          <dgm:bulletEnabled val="1"/>
        </dgm:presLayoutVars>
      </dgm:prSet>
      <dgm:spPr/>
    </dgm:pt>
    <dgm:pt modelId="{94E3A54B-78BC-455C-8AF2-8C34D78A129A}" type="pres">
      <dgm:prSet presAssocID="{71972509-4FD3-4F4B-87BB-012E916E7402}" presName="sibTrans" presStyleCnt="0"/>
      <dgm:spPr/>
    </dgm:pt>
    <dgm:pt modelId="{D968E790-C38F-4849-A678-2C044B05FF9C}" type="pres">
      <dgm:prSet presAssocID="{B0F235FD-DD53-469D-AC4F-0F421E9303E7}" presName="node" presStyleLbl="node1" presStyleIdx="6" presStyleCnt="8">
        <dgm:presLayoutVars>
          <dgm:bulletEnabled val="1"/>
        </dgm:presLayoutVars>
      </dgm:prSet>
      <dgm:spPr/>
    </dgm:pt>
    <dgm:pt modelId="{BDCDA685-969C-4F25-942E-CE20011794F6}" type="pres">
      <dgm:prSet presAssocID="{5EB9DFAB-FCA9-47EF-BD43-C5669BF01ED3}" presName="sibTrans" presStyleCnt="0"/>
      <dgm:spPr/>
    </dgm:pt>
    <dgm:pt modelId="{411A9D1F-EB86-4604-A131-95DEF2DF7224}" type="pres">
      <dgm:prSet presAssocID="{E220E5DD-059F-44AE-AE5D-0F2E8B9D7A62}" presName="node" presStyleLbl="node1" presStyleIdx="7" presStyleCnt="8">
        <dgm:presLayoutVars>
          <dgm:bulletEnabled val="1"/>
        </dgm:presLayoutVars>
      </dgm:prSet>
      <dgm:spPr/>
    </dgm:pt>
  </dgm:ptLst>
  <dgm:cxnLst>
    <dgm:cxn modelId="{EAEF080C-AA90-4944-A346-8B0DEE1FFE96}" type="presOf" srcId="{9021B2A3-2DDA-4B67-87A4-04AAD77B41F4}" destId="{5F3999C3-1910-45C0-9467-58D44DA24F2D}" srcOrd="0" destOrd="0" presId="urn:microsoft.com/office/officeart/2005/8/layout/default"/>
    <dgm:cxn modelId="{C8E57C1E-E0CC-410E-9E2F-5F9798BC0FF9}" type="presOf" srcId="{FDBCB89E-86E4-42B5-A15A-4D0F3A25CE6A}" destId="{CB38B2F6-D129-4D8F-920A-093818002135}" srcOrd="0" destOrd="0" presId="urn:microsoft.com/office/officeart/2005/8/layout/default"/>
    <dgm:cxn modelId="{9FD6A169-CA4F-407E-AD3F-F7FAB52B8A86}" type="presOf" srcId="{BEB8EDF4-60E9-465C-8CBA-2B3681B5C098}" destId="{D7E0FF23-03E2-48D8-AE00-1A14C708C829}" srcOrd="0" destOrd="0" presId="urn:microsoft.com/office/officeart/2005/8/layout/default"/>
    <dgm:cxn modelId="{FE9A2F4C-C9B6-4811-BBBA-67F8C03F4FD4}" type="presOf" srcId="{4DA0A099-A63A-402A-B523-458F8645A79B}" destId="{1A4921F1-FB83-494E-B306-7A701EF9AEAC}" srcOrd="0" destOrd="0" presId="urn:microsoft.com/office/officeart/2005/8/layout/default"/>
    <dgm:cxn modelId="{8FDBB452-CE65-4560-990B-58499274FC0E}" srcId="{4DA0A099-A63A-402A-B523-458F8645A79B}" destId="{B0F235FD-DD53-469D-AC4F-0F421E9303E7}" srcOrd="6" destOrd="0" parTransId="{934E987C-B696-4130-9617-3715CF942AAD}" sibTransId="{5EB9DFAB-FCA9-47EF-BD43-C5669BF01ED3}"/>
    <dgm:cxn modelId="{22777353-8A56-4951-9DC4-6BD8E1263B2B}" srcId="{4DA0A099-A63A-402A-B523-458F8645A79B}" destId="{1229B130-01A6-40F7-ADF6-1CEB76FCB211}" srcOrd="3" destOrd="0" parTransId="{5F65A422-5AD1-41DF-8967-F5D657F92181}" sibTransId="{4C7F9F99-C240-4E7E-B076-305A3BA8DBD9}"/>
    <dgm:cxn modelId="{3EC1827D-FDA6-4D05-9D77-034DBD698056}" srcId="{4DA0A099-A63A-402A-B523-458F8645A79B}" destId="{229808AB-9227-4E74-AB4E-0C9BEEB62D99}" srcOrd="4" destOrd="0" parTransId="{EA854B87-92C9-4831-A8AB-43D0836CC7D2}" sibTransId="{943023E9-E09B-45BA-983D-AA2BA7E21F2F}"/>
    <dgm:cxn modelId="{009E8F82-ACED-4A09-A48C-02E11B6C2BB2}" srcId="{4DA0A099-A63A-402A-B523-458F8645A79B}" destId="{BEB8EDF4-60E9-465C-8CBA-2B3681B5C098}" srcOrd="2" destOrd="0" parTransId="{82913926-DF1C-45E5-BB03-8F64AE906978}" sibTransId="{877DBF9D-0A44-4DA1-A0B6-A2E10B8EF369}"/>
    <dgm:cxn modelId="{1C16E782-B731-4494-A8D8-94F9E41A1DB9}" type="presOf" srcId="{9A90161F-3010-484D-A4B1-A4A0E161E524}" destId="{FC353F00-F829-4F90-B53C-930BC83D6591}" srcOrd="0" destOrd="0" presId="urn:microsoft.com/office/officeart/2005/8/layout/default"/>
    <dgm:cxn modelId="{96EF169B-FFAF-40B8-9F5A-743769E13B85}" type="presOf" srcId="{229808AB-9227-4E74-AB4E-0C9BEEB62D99}" destId="{D432F2C4-33D1-4495-99FB-CD1634937038}" srcOrd="0" destOrd="0" presId="urn:microsoft.com/office/officeart/2005/8/layout/default"/>
    <dgm:cxn modelId="{6E599EA8-FA72-4219-8C41-831070BD7B1B}" type="presOf" srcId="{B0F235FD-DD53-469D-AC4F-0F421E9303E7}" destId="{D968E790-C38F-4849-A678-2C044B05FF9C}" srcOrd="0" destOrd="0" presId="urn:microsoft.com/office/officeart/2005/8/layout/default"/>
    <dgm:cxn modelId="{ABA932AB-877A-4DCD-AB09-0D7BDCAE6C85}" type="presOf" srcId="{E220E5DD-059F-44AE-AE5D-0F2E8B9D7A62}" destId="{411A9D1F-EB86-4604-A131-95DEF2DF7224}" srcOrd="0" destOrd="0" presId="urn:microsoft.com/office/officeart/2005/8/layout/default"/>
    <dgm:cxn modelId="{D90CE1B2-DA1A-4463-8599-911DFB67B934}" srcId="{4DA0A099-A63A-402A-B523-458F8645A79B}" destId="{FDBCB89E-86E4-42B5-A15A-4D0F3A25CE6A}" srcOrd="1" destOrd="0" parTransId="{4827EA0D-3388-49EC-876E-D7E9F1E4359C}" sibTransId="{DE07BA42-7851-41B7-BE64-CD89221B6E94}"/>
    <dgm:cxn modelId="{3CA676C3-6F9B-4E29-BD41-3488C5825310}" srcId="{4DA0A099-A63A-402A-B523-458F8645A79B}" destId="{9021B2A3-2DDA-4B67-87A4-04AAD77B41F4}" srcOrd="0" destOrd="0" parTransId="{1FF24E3C-E587-4F21-895F-B4FD535BBD62}" sibTransId="{F0318A24-36D8-4EF0-94DD-200C5E6C7591}"/>
    <dgm:cxn modelId="{6D16C1D4-AF29-4385-A102-E7B80051E14E}" srcId="{4DA0A099-A63A-402A-B523-458F8645A79B}" destId="{E220E5DD-059F-44AE-AE5D-0F2E8B9D7A62}" srcOrd="7" destOrd="0" parTransId="{4623CA69-888C-4226-BAEC-7CB94A0932C2}" sibTransId="{302FBD63-5162-4F86-B8C4-B05D42FDF734}"/>
    <dgm:cxn modelId="{57975CE6-B046-4860-94A4-8D71B6BB1C1E}" srcId="{4DA0A099-A63A-402A-B523-458F8645A79B}" destId="{9A90161F-3010-484D-A4B1-A4A0E161E524}" srcOrd="5" destOrd="0" parTransId="{EF336CA4-B339-42CD-AB47-B35F7CDCB245}" sibTransId="{71972509-4FD3-4F4B-87BB-012E916E7402}"/>
    <dgm:cxn modelId="{79A52AF3-1649-4E87-9701-EEA584D9B5AA}" type="presOf" srcId="{1229B130-01A6-40F7-ADF6-1CEB76FCB211}" destId="{1AD07E51-BF3D-4F3C-BCF6-29FCB6494BB2}" srcOrd="0" destOrd="0" presId="urn:microsoft.com/office/officeart/2005/8/layout/default"/>
    <dgm:cxn modelId="{D23A170C-C9CD-404C-A11D-FFE20BC9A573}" type="presParOf" srcId="{1A4921F1-FB83-494E-B306-7A701EF9AEAC}" destId="{5F3999C3-1910-45C0-9467-58D44DA24F2D}" srcOrd="0" destOrd="0" presId="urn:microsoft.com/office/officeart/2005/8/layout/default"/>
    <dgm:cxn modelId="{670442BE-3B32-470D-927C-0EF03C511AC0}" type="presParOf" srcId="{1A4921F1-FB83-494E-B306-7A701EF9AEAC}" destId="{13919F79-6292-4421-94EF-BBE271B2AA9C}" srcOrd="1" destOrd="0" presId="urn:microsoft.com/office/officeart/2005/8/layout/default"/>
    <dgm:cxn modelId="{950B8F53-DCD1-41BD-A7E3-76748BC94899}" type="presParOf" srcId="{1A4921F1-FB83-494E-B306-7A701EF9AEAC}" destId="{CB38B2F6-D129-4D8F-920A-093818002135}" srcOrd="2" destOrd="0" presId="urn:microsoft.com/office/officeart/2005/8/layout/default"/>
    <dgm:cxn modelId="{B33F4788-B1EC-432C-9FFE-590F7D006201}" type="presParOf" srcId="{1A4921F1-FB83-494E-B306-7A701EF9AEAC}" destId="{497D57E5-A4D7-4C9E-B18F-7E7FFC159670}" srcOrd="3" destOrd="0" presId="urn:microsoft.com/office/officeart/2005/8/layout/default"/>
    <dgm:cxn modelId="{7E7F73F7-FBA7-4591-B198-AF4E227C23D6}" type="presParOf" srcId="{1A4921F1-FB83-494E-B306-7A701EF9AEAC}" destId="{D7E0FF23-03E2-48D8-AE00-1A14C708C829}" srcOrd="4" destOrd="0" presId="urn:microsoft.com/office/officeart/2005/8/layout/default"/>
    <dgm:cxn modelId="{CB56C795-74A8-433E-86F1-693E948E4955}" type="presParOf" srcId="{1A4921F1-FB83-494E-B306-7A701EF9AEAC}" destId="{FCC4139D-BF18-42D1-8538-B2E65F3A8256}" srcOrd="5" destOrd="0" presId="urn:microsoft.com/office/officeart/2005/8/layout/default"/>
    <dgm:cxn modelId="{7BFD8B9A-ADF5-4945-9265-4E0319AB5657}" type="presParOf" srcId="{1A4921F1-FB83-494E-B306-7A701EF9AEAC}" destId="{1AD07E51-BF3D-4F3C-BCF6-29FCB6494BB2}" srcOrd="6" destOrd="0" presId="urn:microsoft.com/office/officeart/2005/8/layout/default"/>
    <dgm:cxn modelId="{2596629F-381E-4E33-BA9C-262680D88A83}" type="presParOf" srcId="{1A4921F1-FB83-494E-B306-7A701EF9AEAC}" destId="{77253CAD-AC99-4FB0-BB82-A3E18A9F5B66}" srcOrd="7" destOrd="0" presId="urn:microsoft.com/office/officeart/2005/8/layout/default"/>
    <dgm:cxn modelId="{F257C389-BF3B-4ACB-AB0D-4B9F70732625}" type="presParOf" srcId="{1A4921F1-FB83-494E-B306-7A701EF9AEAC}" destId="{D432F2C4-33D1-4495-99FB-CD1634937038}" srcOrd="8" destOrd="0" presId="urn:microsoft.com/office/officeart/2005/8/layout/default"/>
    <dgm:cxn modelId="{FE67EE13-4F22-48B1-87E8-2923924CE17A}" type="presParOf" srcId="{1A4921F1-FB83-494E-B306-7A701EF9AEAC}" destId="{2799E0E6-3818-4820-ADB5-83BC1F870245}" srcOrd="9" destOrd="0" presId="urn:microsoft.com/office/officeart/2005/8/layout/default"/>
    <dgm:cxn modelId="{10024477-8322-4186-BB1D-1C21E4366269}" type="presParOf" srcId="{1A4921F1-FB83-494E-B306-7A701EF9AEAC}" destId="{FC353F00-F829-4F90-B53C-930BC83D6591}" srcOrd="10" destOrd="0" presId="urn:microsoft.com/office/officeart/2005/8/layout/default"/>
    <dgm:cxn modelId="{5BCCF000-EDB3-4ACB-8EE3-9DBED5C78520}" type="presParOf" srcId="{1A4921F1-FB83-494E-B306-7A701EF9AEAC}" destId="{94E3A54B-78BC-455C-8AF2-8C34D78A129A}" srcOrd="11" destOrd="0" presId="urn:microsoft.com/office/officeart/2005/8/layout/default"/>
    <dgm:cxn modelId="{A92FF816-0F6B-4475-A254-BB6FA979C0E5}" type="presParOf" srcId="{1A4921F1-FB83-494E-B306-7A701EF9AEAC}" destId="{D968E790-C38F-4849-A678-2C044B05FF9C}" srcOrd="12" destOrd="0" presId="urn:microsoft.com/office/officeart/2005/8/layout/default"/>
    <dgm:cxn modelId="{5BF2923C-613E-4118-97BE-F3A1417FA90D}" type="presParOf" srcId="{1A4921F1-FB83-494E-B306-7A701EF9AEAC}" destId="{BDCDA685-969C-4F25-942E-CE20011794F6}" srcOrd="13" destOrd="0" presId="urn:microsoft.com/office/officeart/2005/8/layout/default"/>
    <dgm:cxn modelId="{7EBC3300-32C7-491E-801B-EB6405B6C9CD}" type="presParOf" srcId="{1A4921F1-FB83-494E-B306-7A701EF9AEAC}" destId="{411A9D1F-EB86-4604-A131-95DEF2DF7224}" srcOrd="14" destOrd="0" presId="urn:microsoft.com/office/officeart/2005/8/layout/defaul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C0CEDC-E74D-4461-B757-655E4A6FEA0B}">
      <dsp:nvSpPr>
        <dsp:cNvPr id="0" name=""/>
        <dsp:cNvSpPr/>
      </dsp:nvSpPr>
      <dsp:spPr>
        <a:xfrm>
          <a:off x="2981115" y="782756"/>
          <a:ext cx="599948" cy="91440"/>
        </a:xfrm>
        <a:custGeom>
          <a:avLst/>
          <a:gdLst/>
          <a:ahLst/>
          <a:cxnLst/>
          <a:rect l="0" t="0" r="0" b="0"/>
          <a:pathLst>
            <a:path>
              <a:moveTo>
                <a:pt x="0" y="45720"/>
              </a:moveTo>
              <a:lnTo>
                <a:pt x="599948" y="45720"/>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1422400">
            <a:lnSpc>
              <a:spcPct val="90000"/>
            </a:lnSpc>
            <a:spcBef>
              <a:spcPct val="0"/>
            </a:spcBef>
            <a:spcAft>
              <a:spcPct val="35000"/>
            </a:spcAft>
            <a:buNone/>
          </a:pPr>
          <a:endParaRPr lang="en-GB" sz="3200" kern="1200"/>
        </a:p>
      </dsp:txBody>
      <dsp:txXfrm>
        <a:off x="3265326" y="825320"/>
        <a:ext cx="31527" cy="6311"/>
      </dsp:txXfrm>
    </dsp:sp>
    <dsp:sp modelId="{9B7F566E-A4AE-4EA0-AC83-01C71F9B0346}">
      <dsp:nvSpPr>
        <dsp:cNvPr id="0" name=""/>
        <dsp:cNvSpPr/>
      </dsp:nvSpPr>
      <dsp:spPr>
        <a:xfrm>
          <a:off x="241398" y="6020"/>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2017</a:t>
          </a:r>
          <a:br>
            <a:rPr lang="en-GB" sz="1200" b="1" kern="1200"/>
          </a:br>
          <a:r>
            <a:rPr lang="en-GB" sz="1050" kern="1200"/>
            <a:t>Agencies first became involved after Laura separated from a partner and reported ongoing harassment. Police attended several domestic abuse-related incidents, which were assessed as standard or medium risk. Laura also attended hospital following an incident of self-harm or overdose linked to alcohol use.</a:t>
          </a:r>
          <a:endParaRPr lang="en-GB" sz="1200" b="1" kern="1200"/>
        </a:p>
      </dsp:txBody>
      <dsp:txXfrm>
        <a:off x="241398" y="6020"/>
        <a:ext cx="2741517" cy="1644910"/>
      </dsp:txXfrm>
    </dsp:sp>
    <dsp:sp modelId="{023132ED-054A-47A8-A2D7-90A16B081B3F}">
      <dsp:nvSpPr>
        <dsp:cNvPr id="0" name=""/>
        <dsp:cNvSpPr/>
      </dsp:nvSpPr>
      <dsp:spPr>
        <a:xfrm>
          <a:off x="1612156" y="1649131"/>
          <a:ext cx="3372066" cy="599948"/>
        </a:xfrm>
        <a:custGeom>
          <a:avLst/>
          <a:gdLst/>
          <a:ahLst/>
          <a:cxnLst/>
          <a:rect l="0" t="0" r="0" b="0"/>
          <a:pathLst>
            <a:path>
              <a:moveTo>
                <a:pt x="3372066" y="0"/>
              </a:moveTo>
              <a:lnTo>
                <a:pt x="3372066" y="317074"/>
              </a:lnTo>
              <a:lnTo>
                <a:pt x="0" y="317074"/>
              </a:lnTo>
              <a:lnTo>
                <a:pt x="0" y="599948"/>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266700">
            <a:lnSpc>
              <a:spcPct val="90000"/>
            </a:lnSpc>
            <a:spcBef>
              <a:spcPct val="0"/>
            </a:spcBef>
            <a:spcAft>
              <a:spcPct val="35000"/>
            </a:spcAft>
            <a:buNone/>
          </a:pPr>
          <a:endParaRPr lang="en-GB" sz="600" kern="1200"/>
        </a:p>
      </dsp:txBody>
      <dsp:txXfrm>
        <a:off x="3212427" y="1945949"/>
        <a:ext cx="171525" cy="6311"/>
      </dsp:txXfrm>
    </dsp:sp>
    <dsp:sp modelId="{23DB8E66-71D2-41EA-8DA5-0088864F5636}">
      <dsp:nvSpPr>
        <dsp:cNvPr id="0" name=""/>
        <dsp:cNvSpPr/>
      </dsp:nvSpPr>
      <dsp:spPr>
        <a:xfrm>
          <a:off x="3613464" y="6020"/>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2018</a:t>
          </a:r>
          <a:br>
            <a:rPr lang="en-GB" sz="1200" b="1" kern="1200"/>
          </a:br>
          <a:r>
            <a:rPr lang="en-GB" sz="1050" kern="1200"/>
            <a:t>Concerns continued in relation to harassment and abuse from a former partner. A physical assault was reported, and children’s services became involved. Support was offered but declined. Wider pressures, including financial and housing-related concerns, were also emerging.</a:t>
          </a:r>
          <a:endParaRPr lang="en-GB" sz="500" b="1" kern="1200"/>
        </a:p>
      </dsp:txBody>
      <dsp:txXfrm>
        <a:off x="3613464" y="6020"/>
        <a:ext cx="2741517" cy="1644910"/>
      </dsp:txXfrm>
    </dsp:sp>
    <dsp:sp modelId="{0B2F0698-ECDA-48B4-874F-FC48C0E15EFB}">
      <dsp:nvSpPr>
        <dsp:cNvPr id="0" name=""/>
        <dsp:cNvSpPr/>
      </dsp:nvSpPr>
      <dsp:spPr>
        <a:xfrm>
          <a:off x="2981115" y="3058215"/>
          <a:ext cx="599948" cy="91440"/>
        </a:xfrm>
        <a:custGeom>
          <a:avLst/>
          <a:gdLst/>
          <a:ahLst/>
          <a:cxnLst/>
          <a:rect l="0" t="0" r="0" b="0"/>
          <a:pathLst>
            <a:path>
              <a:moveTo>
                <a:pt x="0" y="45720"/>
              </a:moveTo>
              <a:lnTo>
                <a:pt x="599948" y="45720"/>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1422400">
            <a:lnSpc>
              <a:spcPct val="90000"/>
            </a:lnSpc>
            <a:spcBef>
              <a:spcPct val="0"/>
            </a:spcBef>
            <a:spcAft>
              <a:spcPct val="35000"/>
            </a:spcAft>
            <a:buNone/>
          </a:pPr>
          <a:endParaRPr lang="en-GB" sz="3200" kern="1200"/>
        </a:p>
      </dsp:txBody>
      <dsp:txXfrm>
        <a:off x="3265326" y="3100779"/>
        <a:ext cx="31527" cy="6311"/>
      </dsp:txXfrm>
    </dsp:sp>
    <dsp:sp modelId="{8A9FF856-05B9-435E-B257-FFAA25BFCB65}">
      <dsp:nvSpPr>
        <dsp:cNvPr id="0" name=""/>
        <dsp:cNvSpPr/>
      </dsp:nvSpPr>
      <dsp:spPr>
        <a:xfrm>
          <a:off x="241398" y="2281480"/>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2019</a:t>
          </a:r>
          <a:br>
            <a:rPr lang="en-GB" sz="1200" b="1" kern="1200"/>
          </a:br>
          <a:r>
            <a:rPr lang="en-GB" sz="1050" kern="1200"/>
            <a:t>A serious family-related incident involving Laura’s child and a former partner led to further children’s social care involvement, including Section 47 enquiries and Child in Need support. Plans were later closed. During this period, Laura also progressed professionally into a senior management role.</a:t>
          </a:r>
          <a:endParaRPr lang="en-GB" sz="1200" b="1" kern="1200"/>
        </a:p>
      </dsp:txBody>
      <dsp:txXfrm>
        <a:off x="241398" y="2281480"/>
        <a:ext cx="2741517" cy="1644910"/>
      </dsp:txXfrm>
    </dsp:sp>
    <dsp:sp modelId="{B0113FEB-0FA6-4ED5-B641-2D2CA3E92919}">
      <dsp:nvSpPr>
        <dsp:cNvPr id="0" name=""/>
        <dsp:cNvSpPr/>
      </dsp:nvSpPr>
      <dsp:spPr>
        <a:xfrm>
          <a:off x="1612156" y="3924590"/>
          <a:ext cx="3372066" cy="599948"/>
        </a:xfrm>
        <a:custGeom>
          <a:avLst/>
          <a:gdLst/>
          <a:ahLst/>
          <a:cxnLst/>
          <a:rect l="0" t="0" r="0" b="0"/>
          <a:pathLst>
            <a:path>
              <a:moveTo>
                <a:pt x="3372066" y="0"/>
              </a:moveTo>
              <a:lnTo>
                <a:pt x="3372066" y="317074"/>
              </a:lnTo>
              <a:lnTo>
                <a:pt x="0" y="317074"/>
              </a:lnTo>
              <a:lnTo>
                <a:pt x="0" y="599948"/>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1422400">
            <a:lnSpc>
              <a:spcPct val="90000"/>
            </a:lnSpc>
            <a:spcBef>
              <a:spcPct val="0"/>
            </a:spcBef>
            <a:spcAft>
              <a:spcPct val="35000"/>
            </a:spcAft>
            <a:buNone/>
          </a:pPr>
          <a:endParaRPr lang="en-GB" sz="3200" kern="1200"/>
        </a:p>
      </dsp:txBody>
      <dsp:txXfrm>
        <a:off x="3212427" y="4221409"/>
        <a:ext cx="171525" cy="6311"/>
      </dsp:txXfrm>
    </dsp:sp>
    <dsp:sp modelId="{F3D7D46E-8739-4B01-BD8E-5F38646FCD52}">
      <dsp:nvSpPr>
        <dsp:cNvPr id="0" name=""/>
        <dsp:cNvSpPr/>
      </dsp:nvSpPr>
      <dsp:spPr>
        <a:xfrm>
          <a:off x="3613464" y="2281480"/>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2020:</a:t>
          </a:r>
          <a:br>
            <a:rPr lang="en-GB" sz="1200" b="1" kern="1200"/>
          </a:br>
          <a:r>
            <a:rPr lang="en-GB" sz="1050" kern="1200"/>
            <a:t>Laura began a new intimate relationship while harassment from a previous partner was still ongoing. A serious assault was reported within the new relationship, leading to increased contact with police, health services and children’s social care</a:t>
          </a:r>
          <a:r>
            <a:rPr lang="en-GB" sz="1100" kern="1200"/>
            <a:t>.</a:t>
          </a:r>
          <a:endParaRPr lang="en-GB" sz="1200" b="1" kern="1200"/>
        </a:p>
      </dsp:txBody>
      <dsp:txXfrm>
        <a:off x="3613464" y="2281480"/>
        <a:ext cx="2741517" cy="1644910"/>
      </dsp:txXfrm>
    </dsp:sp>
    <dsp:sp modelId="{D9C8A80B-1385-40EA-A310-A3E5A0B6B081}">
      <dsp:nvSpPr>
        <dsp:cNvPr id="0" name=""/>
        <dsp:cNvSpPr/>
      </dsp:nvSpPr>
      <dsp:spPr>
        <a:xfrm>
          <a:off x="2981115" y="5333674"/>
          <a:ext cx="599948" cy="91440"/>
        </a:xfrm>
        <a:custGeom>
          <a:avLst/>
          <a:gdLst/>
          <a:ahLst/>
          <a:cxnLst/>
          <a:rect l="0" t="0" r="0" b="0"/>
          <a:pathLst>
            <a:path>
              <a:moveTo>
                <a:pt x="0" y="45720"/>
              </a:moveTo>
              <a:lnTo>
                <a:pt x="599948" y="45720"/>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1422400">
            <a:lnSpc>
              <a:spcPct val="90000"/>
            </a:lnSpc>
            <a:spcBef>
              <a:spcPct val="0"/>
            </a:spcBef>
            <a:spcAft>
              <a:spcPct val="35000"/>
            </a:spcAft>
            <a:buNone/>
          </a:pPr>
          <a:endParaRPr lang="en-GB" sz="3200" kern="1200"/>
        </a:p>
      </dsp:txBody>
      <dsp:txXfrm>
        <a:off x="3265326" y="5376238"/>
        <a:ext cx="31527" cy="6311"/>
      </dsp:txXfrm>
    </dsp:sp>
    <dsp:sp modelId="{F67DD146-DB21-4C9F-B723-E5197E850A7E}">
      <dsp:nvSpPr>
        <dsp:cNvPr id="0" name=""/>
        <dsp:cNvSpPr/>
      </dsp:nvSpPr>
      <dsp:spPr>
        <a:xfrm>
          <a:off x="241398" y="4556939"/>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2021:</a:t>
          </a:r>
          <a:br>
            <a:rPr lang="en-GB" sz="1200" b="1" kern="1200"/>
          </a:br>
          <a:r>
            <a:rPr lang="en-GB" sz="1050" kern="1200"/>
            <a:t>There was a rise in domestic abuse incidents involving intimate partner abuse and wider family conflict. Concerns also increased around alcohol use, substance misuse, mental health and emotional distress. Episodes of violence within the family were reported. Laura’s employer became involved due to safeguarding and conduct concerns.</a:t>
          </a:r>
          <a:endParaRPr lang="en-GB" sz="1200" b="1" kern="1200"/>
        </a:p>
      </dsp:txBody>
      <dsp:txXfrm>
        <a:off x="241398" y="4556939"/>
        <a:ext cx="2741517" cy="1644910"/>
      </dsp:txXfrm>
    </dsp:sp>
    <dsp:sp modelId="{E7983F55-3EC4-4400-80D3-E27D06992079}">
      <dsp:nvSpPr>
        <dsp:cNvPr id="0" name=""/>
        <dsp:cNvSpPr/>
      </dsp:nvSpPr>
      <dsp:spPr>
        <a:xfrm>
          <a:off x="1612156" y="6200049"/>
          <a:ext cx="3372066" cy="599948"/>
        </a:xfrm>
        <a:custGeom>
          <a:avLst/>
          <a:gdLst/>
          <a:ahLst/>
          <a:cxnLst/>
          <a:rect l="0" t="0" r="0" b="0"/>
          <a:pathLst>
            <a:path>
              <a:moveTo>
                <a:pt x="3372066" y="0"/>
              </a:moveTo>
              <a:lnTo>
                <a:pt x="3372066" y="317074"/>
              </a:lnTo>
              <a:lnTo>
                <a:pt x="0" y="317074"/>
              </a:lnTo>
              <a:lnTo>
                <a:pt x="0" y="599948"/>
              </a:lnTo>
            </a:path>
          </a:pathLst>
        </a:custGeom>
        <a:noFill/>
        <a:ln w="12700" cap="flat" cmpd="sng" algn="ctr">
          <a:solidFill>
            <a:schemeClr val="accent5">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l" defTabSz="1422400">
            <a:lnSpc>
              <a:spcPct val="90000"/>
            </a:lnSpc>
            <a:spcBef>
              <a:spcPct val="0"/>
            </a:spcBef>
            <a:spcAft>
              <a:spcPct val="35000"/>
            </a:spcAft>
            <a:buNone/>
          </a:pPr>
          <a:endParaRPr lang="en-GB" sz="3200" kern="1200"/>
        </a:p>
      </dsp:txBody>
      <dsp:txXfrm>
        <a:off x="3212427" y="6496868"/>
        <a:ext cx="171525" cy="6311"/>
      </dsp:txXfrm>
    </dsp:sp>
    <dsp:sp modelId="{208DEB38-4ACC-4D97-9789-241BC978250F}">
      <dsp:nvSpPr>
        <dsp:cNvPr id="0" name=""/>
        <dsp:cNvSpPr/>
      </dsp:nvSpPr>
      <dsp:spPr>
        <a:xfrm>
          <a:off x="3613464" y="4556939"/>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Late 2021 to early 2022:</a:t>
          </a:r>
          <a:br>
            <a:rPr lang="en-GB" sz="1200" b="1" kern="1200"/>
          </a:br>
          <a:r>
            <a:rPr lang="en-GB" sz="1050" kern="1200"/>
            <a:t>Laura disclosed coercive and controlling behaviour. During this period, a partner was imprisoned following a serious offence. A referral was made to specialist domestic abuse support, although engagement was delayed or declined. Substance use concerns were also identified through employment processes, while financial and housing pressures continued to increase.</a:t>
          </a:r>
          <a:endParaRPr lang="en-GB" sz="1400" b="1" kern="1200"/>
        </a:p>
      </dsp:txBody>
      <dsp:txXfrm>
        <a:off x="3613464" y="4556939"/>
        <a:ext cx="2741517" cy="1644910"/>
      </dsp:txXfrm>
    </dsp:sp>
    <dsp:sp modelId="{B3EDFBC1-3CBF-42F9-AAD5-2B4CBCB80576}">
      <dsp:nvSpPr>
        <dsp:cNvPr id="0" name=""/>
        <dsp:cNvSpPr/>
      </dsp:nvSpPr>
      <dsp:spPr>
        <a:xfrm>
          <a:off x="241398" y="6832398"/>
          <a:ext cx="2741517" cy="1644910"/>
        </a:xfrm>
        <a:prstGeom prst="rect">
          <a:avLst/>
        </a:prstGeom>
        <a:solidFill>
          <a:schemeClr val="lt1">
            <a:hueOff val="0"/>
            <a:satOff val="0"/>
            <a:lumOff val="0"/>
            <a:alphaOff val="0"/>
          </a:schemeClr>
        </a:solidFill>
        <a:ln w="19050" cap="flat" cmpd="sng" algn="ctr">
          <a:solidFill>
            <a:schemeClr val="accent5">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l" defTabSz="533400">
            <a:lnSpc>
              <a:spcPct val="90000"/>
            </a:lnSpc>
            <a:spcBef>
              <a:spcPct val="0"/>
            </a:spcBef>
            <a:spcAft>
              <a:spcPct val="35000"/>
            </a:spcAft>
            <a:buNone/>
          </a:pPr>
          <a:r>
            <a:rPr lang="en-GB" sz="1200" b="1" kern="1200"/>
            <a:t>Final months of 2022 before Laura's death:</a:t>
          </a:r>
          <a:br>
            <a:rPr lang="en-GB" sz="1200" b="1" kern="1200"/>
          </a:br>
          <a:r>
            <a:rPr lang="en-GB" sz="1050" kern="1200"/>
            <a:t>Agency contact reduced. Laura returned to work in a restricted capacity and declined some offers of support. She also sought information about a new partner through the Domestic Violence Disclosure Scheme. Ongoing concerns remained in relation to mental health, substance use and financial stress.</a:t>
          </a:r>
          <a:endParaRPr lang="en-GB" sz="1200" b="1" kern="1200"/>
        </a:p>
      </dsp:txBody>
      <dsp:txXfrm>
        <a:off x="241398" y="6832398"/>
        <a:ext cx="2741517" cy="16449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4FA22B-DBF1-4D6F-821C-5BFA95A69631}">
      <dsp:nvSpPr>
        <dsp:cNvPr id="0" name=""/>
        <dsp:cNvSpPr/>
      </dsp:nvSpPr>
      <dsp:spPr>
        <a:xfrm>
          <a:off x="0" y="75882"/>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Domestic Abuse, Stalking and Honour-Based Violence Risk Identification, Assessment and Management Model (DASH) / Domestic Abuse Risk Assessment risk assessments (DARA)</a:t>
          </a:r>
        </a:p>
      </dsp:txBody>
      <dsp:txXfrm>
        <a:off x="28329" y="104211"/>
        <a:ext cx="6814042" cy="523662"/>
      </dsp:txXfrm>
    </dsp:sp>
    <dsp:sp modelId="{E8D807FF-BEB6-4BEB-B198-7FB2EA2190F7}">
      <dsp:nvSpPr>
        <dsp:cNvPr id="0" name=""/>
        <dsp:cNvSpPr/>
      </dsp:nvSpPr>
      <dsp:spPr>
        <a:xfrm>
          <a:off x="0" y="656202"/>
          <a:ext cx="6870700" cy="9946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Although Laura was involved in twenty-two reported incidents or disclosures of domestic abuse, none were assessed as high risk. However, three of the incidents may have justified a high-risk DASH. This meant that, despite the impact domestic abuse had on Laura’s emotional health and the wellbeing of her children, she was never referred to MARAC on the grounds of visible high risk. Domestic abuse incidents need to be considered not only as single events, but also in terms of their cumulative impact on the family when assessing risk.</a:t>
          </a:r>
        </a:p>
      </dsp:txBody>
      <dsp:txXfrm>
        <a:off x="0" y="656202"/>
        <a:ext cx="6870700" cy="994635"/>
      </dsp:txXfrm>
    </dsp:sp>
    <dsp:sp modelId="{3F874DDC-D1BB-4525-8DFD-122934C72902}">
      <dsp:nvSpPr>
        <dsp:cNvPr id="0" name=""/>
        <dsp:cNvSpPr/>
      </dsp:nvSpPr>
      <dsp:spPr>
        <a:xfrm>
          <a:off x="0" y="1854034"/>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Clare’s Law: Domestic Violence Disclosure Scheme</a:t>
          </a:r>
        </a:p>
      </dsp:txBody>
      <dsp:txXfrm>
        <a:off x="28329" y="1882363"/>
        <a:ext cx="6814042" cy="523662"/>
      </dsp:txXfrm>
    </dsp:sp>
    <dsp:sp modelId="{F8376580-2514-4E6E-808F-545647701E40}">
      <dsp:nvSpPr>
        <dsp:cNvPr id="0" name=""/>
        <dsp:cNvSpPr/>
      </dsp:nvSpPr>
      <dsp:spPr>
        <a:xfrm>
          <a:off x="0" y="2231157"/>
          <a:ext cx="6870700" cy="834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Although an application under Clare’s Law, also known as the Domestic Violence Disclosure Scheme (DVDS), was made shortly before Laura’s death, and the police response was assessed as appropriate with no disclosable information identified, this case highlights the limitations of the scheme. It also reinforces the importance of practitioner awareness in supporting individuals to understand risk beyond disclosed history</a:t>
          </a:r>
        </a:p>
      </dsp:txBody>
      <dsp:txXfrm>
        <a:off x="0" y="2231157"/>
        <a:ext cx="6870700" cy="834210"/>
      </dsp:txXfrm>
    </dsp:sp>
    <dsp:sp modelId="{1962D18B-C7EB-4930-B249-F54B15540448}">
      <dsp:nvSpPr>
        <dsp:cNvPr id="0" name=""/>
        <dsp:cNvSpPr/>
      </dsp:nvSpPr>
      <dsp:spPr>
        <a:xfrm>
          <a:off x="0" y="3065367"/>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Repeat incident referral to Multi-Agency Risk Assessment Conference (MARAC)</a:t>
          </a:r>
        </a:p>
      </dsp:txBody>
      <dsp:txXfrm>
        <a:off x="28329" y="3093696"/>
        <a:ext cx="6814042" cy="523662"/>
      </dsp:txXfrm>
    </dsp:sp>
    <dsp:sp modelId="{3100F4AD-E9C8-4931-A22E-D11E02BEA627}">
      <dsp:nvSpPr>
        <dsp:cNvPr id="0" name=""/>
        <dsp:cNvSpPr/>
      </dsp:nvSpPr>
      <dsp:spPr>
        <a:xfrm>
          <a:off x="0" y="3645687"/>
          <a:ext cx="6870700" cy="6737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During this period, opportunities were missed to better understand the long-term impact on Laura and her children. Laura could, and probably should, have been referred to a MARAC on the grounds of repeat incidents. When completing a DARAH or DASH professionals should exercise professional judgement about cumulative impact.</a:t>
          </a:r>
        </a:p>
      </dsp:txBody>
      <dsp:txXfrm>
        <a:off x="0" y="3645687"/>
        <a:ext cx="6870700" cy="673785"/>
      </dsp:txXfrm>
    </dsp:sp>
    <dsp:sp modelId="{88755968-E16B-4D04-AF42-BF90E62DE52A}">
      <dsp:nvSpPr>
        <dsp:cNvPr id="0" name=""/>
        <dsp:cNvSpPr/>
      </dsp:nvSpPr>
      <dsp:spPr>
        <a:xfrm>
          <a:off x="0" y="4319472"/>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Domestic Abuse Triage</a:t>
          </a:r>
        </a:p>
      </dsp:txBody>
      <dsp:txXfrm>
        <a:off x="28329" y="4347801"/>
        <a:ext cx="6814042" cy="523662"/>
      </dsp:txXfrm>
    </dsp:sp>
    <dsp:sp modelId="{AA41DA7A-1B88-4DC3-9ADD-041435F4C66B}">
      <dsp:nvSpPr>
        <dsp:cNvPr id="0" name=""/>
        <dsp:cNvSpPr/>
      </dsp:nvSpPr>
      <dsp:spPr>
        <a:xfrm>
          <a:off x="0" y="4899792"/>
          <a:ext cx="6870700" cy="834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The majority of the twenty-two domestic abuse incidents or disclosures were considered at the Domestic Abuse Triage meeting. However, the focus was predominantly on safeguarding children affected by domestic abuse. Greater emphasis is required to ensure that the needs and risks of adults are also considered within triage, with appropriate assessment and onward referrals in place for both adults and children.</a:t>
          </a:r>
        </a:p>
      </dsp:txBody>
      <dsp:txXfrm>
        <a:off x="0" y="4899792"/>
        <a:ext cx="6870700" cy="834210"/>
      </dsp:txXfrm>
    </dsp:sp>
    <dsp:sp modelId="{CC6871B8-238C-4C68-AEB7-8A0A66DBA5F6}">
      <dsp:nvSpPr>
        <dsp:cNvPr id="0" name=""/>
        <dsp:cNvSpPr/>
      </dsp:nvSpPr>
      <dsp:spPr>
        <a:xfrm>
          <a:off x="0" y="5734002"/>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Adult safeguarding</a:t>
          </a:r>
        </a:p>
      </dsp:txBody>
      <dsp:txXfrm>
        <a:off x="28329" y="5762331"/>
        <a:ext cx="6814042" cy="523662"/>
      </dsp:txXfrm>
    </dsp:sp>
    <dsp:sp modelId="{E9E2D904-E37B-444A-86BB-04E42AD3865F}">
      <dsp:nvSpPr>
        <dsp:cNvPr id="0" name=""/>
        <dsp:cNvSpPr/>
      </dsp:nvSpPr>
      <dsp:spPr>
        <a:xfrm>
          <a:off x="0" y="6314322"/>
          <a:ext cx="6870700" cy="67378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At no stage did any professional or agency consider referring Laura to Adult Social Care for support and a possible Care Act assessment, or making an adult safeguarding referral. The Review advised that it would have been in the public interest for a referral to have been made and for Adult Social Care to have conducted an enquiry, given Laura’s circumstances.</a:t>
          </a:r>
        </a:p>
      </dsp:txBody>
      <dsp:txXfrm>
        <a:off x="0" y="6314322"/>
        <a:ext cx="6870700" cy="673785"/>
      </dsp:txXfrm>
    </dsp:sp>
    <dsp:sp modelId="{C5D1BBB8-548F-46EB-984C-03B7ED997DB9}">
      <dsp:nvSpPr>
        <dsp:cNvPr id="0" name=""/>
        <dsp:cNvSpPr/>
      </dsp:nvSpPr>
      <dsp:spPr>
        <a:xfrm>
          <a:off x="0" y="6988107"/>
          <a:ext cx="6870700" cy="580320"/>
        </a:xfrm>
        <a:prstGeom prst="round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GB" sz="1200" kern="1200">
              <a:latin typeface="Aptos" panose="02110004020202020204"/>
              <a:ea typeface="+mn-ea"/>
              <a:cs typeface="+mn-cs"/>
            </a:rPr>
            <a:t>Whole family approach</a:t>
          </a:r>
        </a:p>
      </dsp:txBody>
      <dsp:txXfrm>
        <a:off x="28329" y="7016436"/>
        <a:ext cx="6814042" cy="523662"/>
      </dsp:txXfrm>
    </dsp:sp>
    <dsp:sp modelId="{2DEC0E3B-694F-4ACA-A053-203E6AD1A93D}">
      <dsp:nvSpPr>
        <dsp:cNvPr id="0" name=""/>
        <dsp:cNvSpPr/>
      </dsp:nvSpPr>
      <dsp:spPr>
        <a:xfrm>
          <a:off x="0" y="7568427"/>
          <a:ext cx="6870700" cy="834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18145" tIns="15240" rIns="85344" bIns="15240" numCol="1" spcCol="1270" anchor="t" anchorCtr="0">
          <a:noAutofit/>
        </a:bodyPr>
        <a:lstStyle/>
        <a:p>
          <a:pPr marL="57150" lvl="1" indent="-57150" algn="l" defTabSz="511175">
            <a:lnSpc>
              <a:spcPct val="90000"/>
            </a:lnSpc>
            <a:spcBef>
              <a:spcPct val="0"/>
            </a:spcBef>
            <a:spcAft>
              <a:spcPct val="20000"/>
            </a:spcAft>
            <a:buNone/>
          </a:pPr>
          <a:r>
            <a:rPr lang="en-GB" sz="1150" kern="1200">
              <a:latin typeface="Aptos" panose="02110004020202020204"/>
              <a:ea typeface="+mn-ea"/>
              <a:cs typeface="+mn-cs"/>
            </a:rPr>
            <a:t>The twenty-two domestic abuse incidents and disclosures represented a complex sequence of events that could only be fully understood by gaining a clear understanding of the family dynamics. To understand those dynamics, professionals needed to adopt a ‘think family’ or ‘whole family’ approach. This recognises that people rarely live in complete isolation and that professionals need to understand the needs of the wider family when engaging with any child or adult.</a:t>
          </a:r>
        </a:p>
      </dsp:txBody>
      <dsp:txXfrm>
        <a:off x="0" y="7568427"/>
        <a:ext cx="6870700" cy="8342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3999C3-1910-45C0-9467-58D44DA24F2D}">
      <dsp:nvSpPr>
        <dsp:cNvPr id="0" name=""/>
        <dsp:cNvSpPr/>
      </dsp:nvSpPr>
      <dsp:spPr>
        <a:xfrm>
          <a:off x="242386" y="453"/>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Domestic abuse history should be considered when assessing risk, particularly where there are repeated incidents, coercive or controlling behaviour, mental health concerns, or wider indicators of vulnerability. </a:t>
          </a:r>
        </a:p>
      </dsp:txBody>
      <dsp:txXfrm>
        <a:off x="242386" y="453"/>
        <a:ext cx="2506676" cy="1504006"/>
      </dsp:txXfrm>
    </dsp:sp>
    <dsp:sp modelId="{CB38B2F6-D129-4D8F-920A-093818002135}">
      <dsp:nvSpPr>
        <dsp:cNvPr id="0" name=""/>
        <dsp:cNvSpPr/>
      </dsp:nvSpPr>
      <dsp:spPr>
        <a:xfrm>
          <a:off x="2999731" y="453"/>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Repeat incidents assessed as standard or medium risk should still prompt professional curiosity and consideration of whether referral to a Multi-Agency Risk Assessment Conference, or further multi-agency discussion, is needed.</a:t>
          </a:r>
        </a:p>
      </dsp:txBody>
      <dsp:txXfrm>
        <a:off x="2999731" y="453"/>
        <a:ext cx="2506676" cy="1504006"/>
      </dsp:txXfrm>
    </dsp:sp>
    <dsp:sp modelId="{D7E0FF23-03E2-48D8-AE00-1A14C708C829}">
      <dsp:nvSpPr>
        <dsp:cNvPr id="0" name=""/>
        <dsp:cNvSpPr/>
      </dsp:nvSpPr>
      <dsp:spPr>
        <a:xfrm>
          <a:off x="242386" y="1755127"/>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Domestic abuse triage arrangements should consider the needs of the whole family, including adult victims, children, and family members who may not live in the same household.</a:t>
          </a:r>
        </a:p>
      </dsp:txBody>
      <dsp:txXfrm>
        <a:off x="242386" y="1755127"/>
        <a:ext cx="2506676" cy="1504006"/>
      </dsp:txXfrm>
    </dsp:sp>
    <dsp:sp modelId="{1AD07E51-BF3D-4F3C-BCF6-29FCB6494BB2}">
      <dsp:nvSpPr>
        <dsp:cNvPr id="0" name=""/>
        <dsp:cNvSpPr/>
      </dsp:nvSpPr>
      <dsp:spPr>
        <a:xfrm>
          <a:off x="2999731" y="1755127"/>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Agencies should consider whether adult safeguarding, Adult Social Care involvement, or a Care Act assessment may be appropriate where domestic abuse is linked to vulnerability, mental health, substance use, or escalating need.</a:t>
          </a:r>
        </a:p>
      </dsp:txBody>
      <dsp:txXfrm>
        <a:off x="2999731" y="1755127"/>
        <a:ext cx="2506676" cy="1504006"/>
      </dsp:txXfrm>
    </dsp:sp>
    <dsp:sp modelId="{D432F2C4-33D1-4495-99FB-CD1634937038}">
      <dsp:nvSpPr>
        <dsp:cNvPr id="0" name=""/>
        <dsp:cNvSpPr/>
      </dsp:nvSpPr>
      <dsp:spPr>
        <a:xfrm>
          <a:off x="242386" y="3509801"/>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Professionals should be aware of familial domestic abuse, including child-to-parent abuse, and understand what support pathways are available locally.</a:t>
          </a:r>
        </a:p>
      </dsp:txBody>
      <dsp:txXfrm>
        <a:off x="242386" y="3509801"/>
        <a:ext cx="2506676" cy="1504006"/>
      </dsp:txXfrm>
    </dsp:sp>
    <dsp:sp modelId="{FC353F00-F829-4F90-B53C-930BC83D6591}">
      <dsp:nvSpPr>
        <dsp:cNvPr id="0" name=""/>
        <dsp:cNvSpPr/>
      </dsp:nvSpPr>
      <dsp:spPr>
        <a:xfrm>
          <a:off x="2999731" y="3509801"/>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Where an adult involved in domestic abuse works with children or vulnerable groups, agencies should consider whether Local Authority Designated Officer advice or referral is required, using professional curiosity to understand any transferable risk.</a:t>
          </a:r>
        </a:p>
      </dsp:txBody>
      <dsp:txXfrm>
        <a:off x="2999731" y="3509801"/>
        <a:ext cx="2506676" cy="1504006"/>
      </dsp:txXfrm>
    </dsp:sp>
    <dsp:sp modelId="{D968E790-C38F-4849-A678-2C044B05FF9C}">
      <dsp:nvSpPr>
        <dsp:cNvPr id="0" name=""/>
        <dsp:cNvSpPr/>
      </dsp:nvSpPr>
      <dsp:spPr>
        <a:xfrm>
          <a:off x="242386" y="5264475"/>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Information sharing between agencies should support a fuller understanding of cumulative risk, rather than focusing only on individual incidents in isolation.</a:t>
          </a:r>
        </a:p>
      </dsp:txBody>
      <dsp:txXfrm>
        <a:off x="242386" y="5264475"/>
        <a:ext cx="2506676" cy="1504006"/>
      </dsp:txXfrm>
    </dsp:sp>
    <dsp:sp modelId="{411A9D1F-EB86-4604-A131-95DEF2DF7224}">
      <dsp:nvSpPr>
        <dsp:cNvPr id="0" name=""/>
        <dsp:cNvSpPr/>
      </dsp:nvSpPr>
      <dsp:spPr>
        <a:xfrm>
          <a:off x="2999731" y="5264475"/>
          <a:ext cx="2506676" cy="1504006"/>
        </a:xfrm>
        <a:prstGeom prst="rect">
          <a:avLst/>
        </a:prstGeom>
        <a:solidFill>
          <a:schemeClr val="accent3">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Professionals should ensure they are familiar with the Shropshire Domestic Abuse Pathway.</a:t>
          </a:r>
        </a:p>
      </dsp:txBody>
      <dsp:txXfrm>
        <a:off x="2999731" y="5264475"/>
        <a:ext cx="2506676" cy="150400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0544CEDD66FF45A4C30C02F5D9BCD8" ma:contentTypeVersion="20" ma:contentTypeDescription="Create a new document." ma:contentTypeScope="" ma:versionID="3fc8e4a3067e26f82bc9ada8918b2e99">
  <xsd:schema xmlns:xsd="http://www.w3.org/2001/XMLSchema" xmlns:xs="http://www.w3.org/2001/XMLSchema" xmlns:p="http://schemas.microsoft.com/office/2006/metadata/properties" xmlns:ns2="71ce49bb-cf0a-4122-9119-2fd8f82facb0" xmlns:ns3="0ba1dc7b-d825-410b-8076-85f10e5c34b6" targetNamespace="http://schemas.microsoft.com/office/2006/metadata/properties" ma:root="true" ma:fieldsID="30b0e6c62c7e5d2a57bba4f4c20e15f8" ns2:_="" ns3:_="">
    <xsd:import namespace="71ce49bb-cf0a-4122-9119-2fd8f82facb0"/>
    <xsd:import namespace="0ba1dc7b-d825-410b-8076-85f10e5c34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e49bb-cf0a-4122-9119-2fd8f82fac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47526-a6f0-4707-a276-51d9665081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1dc7b-d825-410b-8076-85f10e5c34b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119aa69-a426-41ff-a90b-989f60903a80}" ma:internalName="TaxCatchAll" ma:showField="CatchAllData" ma:web="0ba1dc7b-d825-410b-8076-85f10e5c3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ce49bb-cf0a-4122-9119-2fd8f82facb0">
      <Terms xmlns="http://schemas.microsoft.com/office/infopath/2007/PartnerControls"/>
    </lcf76f155ced4ddcb4097134ff3c332f>
    <TaxCatchAll xmlns="0ba1dc7b-d825-410b-8076-85f10e5c34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A75567-DC71-4017-A6D2-4474EBC82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e49bb-cf0a-4122-9119-2fd8f82facb0"/>
    <ds:schemaRef ds:uri="0ba1dc7b-d825-410b-8076-85f10e5c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C212CD-1E6F-4216-A790-5A8B5EE931B1}">
  <ds:schemaRefs>
    <ds:schemaRef ds:uri="http://schemas.microsoft.com/office/2006/metadata/properties"/>
    <ds:schemaRef ds:uri="http://schemas.microsoft.com/office/infopath/2007/PartnerControls"/>
    <ds:schemaRef ds:uri="71ce49bb-cf0a-4122-9119-2fd8f82facb0"/>
    <ds:schemaRef ds:uri="0ba1dc7b-d825-410b-8076-85f10e5c34b6"/>
  </ds:schemaRefs>
</ds:datastoreItem>
</file>

<file path=customXml/itemProps3.xml><?xml version="1.0" encoding="utf-8"?>
<ds:datastoreItem xmlns:ds="http://schemas.openxmlformats.org/officeDocument/2006/customXml" ds:itemID="{38A4E251-E818-4CD1-BA4B-61F43A4E02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891</Words>
  <Characters>5080</Characters>
  <Application>Microsoft Office Word</Application>
  <DocSecurity>4</DocSecurity>
  <Lines>42</Lines>
  <Paragraphs>11</Paragraphs>
  <ScaleCrop>false</ScaleCrop>
  <Company/>
  <LinksUpToDate>false</LinksUpToDate>
  <CharactersWithSpaces>5960</CharactersWithSpaces>
  <SharedDoc>false</SharedDoc>
  <HLinks>
    <vt:vector size="30" baseType="variant">
      <vt:variant>
        <vt:i4>1048652</vt:i4>
      </vt:variant>
      <vt:variant>
        <vt:i4>12</vt:i4>
      </vt:variant>
      <vt:variant>
        <vt:i4>0</vt:i4>
      </vt:variant>
      <vt:variant>
        <vt:i4>5</vt:i4>
      </vt:variant>
      <vt:variant>
        <vt:lpwstr>https://www.gov.uk/government/publications/domestic-violence-disclosure-scheme-clares-law</vt:lpwstr>
      </vt:variant>
      <vt:variant>
        <vt:lpwstr/>
      </vt:variant>
      <vt:variant>
        <vt:i4>458761</vt:i4>
      </vt:variant>
      <vt:variant>
        <vt:i4>9</vt:i4>
      </vt:variant>
      <vt:variant>
        <vt:i4>0</vt:i4>
      </vt:variant>
      <vt:variant>
        <vt:i4>5</vt:i4>
      </vt:variant>
      <vt:variant>
        <vt:lpwstr>https://www.shropshiresafeguardingcommunitypartnership.co.uk/partnership-priority-areas/local-domestic-abuse-partnership-board/domestic-abuse-contact-numbers-resources-and-links-to-other-organisations/</vt:lpwstr>
      </vt:variant>
      <vt:variant>
        <vt:lpwstr/>
      </vt:variant>
      <vt:variant>
        <vt:i4>2818148</vt:i4>
      </vt:variant>
      <vt:variant>
        <vt:i4>6</vt:i4>
      </vt:variant>
      <vt:variant>
        <vt:i4>0</vt:i4>
      </vt:variant>
      <vt:variant>
        <vt:i4>5</vt:i4>
      </vt:variant>
      <vt:variant>
        <vt:lpwstr>https://next.shropshire.gov.uk/media/3srawhnw/shropshire-domestic-abuse-partnership-strategy-2026-final.pdf</vt:lpwstr>
      </vt:variant>
      <vt:variant>
        <vt:lpwstr/>
      </vt:variant>
      <vt:variant>
        <vt:i4>7471230</vt:i4>
      </vt:variant>
      <vt:variant>
        <vt:i4>3</vt:i4>
      </vt:variant>
      <vt:variant>
        <vt:i4>0</vt:i4>
      </vt:variant>
      <vt:variant>
        <vt:i4>5</vt:i4>
      </vt:variant>
      <vt:variant>
        <vt:lpwstr>https://www.shropshiresafeguardingcommunitypartnership.co.uk/media/2dbja0qk/domestic-abuse-pathway.pdf</vt:lpwstr>
      </vt:variant>
      <vt:variant>
        <vt:lpwstr/>
      </vt:variant>
      <vt:variant>
        <vt:i4>1048664</vt:i4>
      </vt:variant>
      <vt:variant>
        <vt:i4>0</vt:i4>
      </vt:variant>
      <vt:variant>
        <vt:i4>0</vt:i4>
      </vt:variant>
      <vt:variant>
        <vt:i4>5</vt:i4>
      </vt:variant>
      <vt:variant>
        <vt:lpwstr>https://assets.publishing.service.gov.uk/media/5a80be88e5274a2e87dbb923/DHR-Statutory-Guidance-161206.pdf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Homicide Review – Laura                                            SSCP Extended Learning Briefing</dc:title>
  <dc:subject>August 2026</dc:subject>
  <dc:creator>Charlotte Howell</dc:creator>
  <cp:keywords/>
  <dc:description/>
  <cp:lastModifiedBy>Sarah Chidlow</cp:lastModifiedBy>
  <cp:revision>2</cp:revision>
  <dcterms:created xsi:type="dcterms:W3CDTF">2026-10-12T15:51:00Z</dcterms:created>
  <dcterms:modified xsi:type="dcterms:W3CDTF">2026-10-12T15:51:00Z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0x010100AC0544CEDD66FF45A4C30C02F5D9BCD8</vt:lpwstr>
  </property>
  <property fmtid="{D5CDD505-2E9C-101B-9397-08002B2CF9AE}" pid="3" name="MediaServiceImageTags">
    <vt:lpwstr/>
  </property>
  <property fmtid="{D5CDD505-2E9C-101B-9397-08002B2CF9AE}" pid="4" name="docLang">
    <vt:lpwstr>en</vt:lpwstr>
  </property>
</Properties>
</file>